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56D9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小标宋简体" w:cs="方正小标宋简体"/>
          <w:sz w:val="36"/>
          <w:szCs w:val="36"/>
          <w:lang w:val="en-US" w:eastAsia="zh-CN"/>
        </w:rPr>
      </w:pPr>
      <w:bookmarkStart w:id="0" w:name="_GoBack"/>
      <w:bookmarkEnd w:id="0"/>
      <w:r>
        <w:rPr>
          <w:rFonts w:hint="eastAsia" w:ascii="Times New Roman" w:hAnsi="Times New Roman" w:eastAsia="方正小标宋简体" w:cs="方正小标宋简体"/>
          <w:sz w:val="36"/>
          <w:szCs w:val="36"/>
          <w:lang w:val="en-US" w:eastAsia="zh-CN"/>
        </w:rPr>
        <w:t>2026年都江堰市地下水污染防治重点排污单位周边地下水监测项目市场调研报价表</w:t>
      </w:r>
    </w:p>
    <w:p w14:paraId="41EA1B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小标宋简体" w:cs="方正小标宋简体"/>
          <w:sz w:val="36"/>
          <w:szCs w:val="36"/>
          <w:lang w:val="en-US" w:eastAsia="zh-CN"/>
        </w:rPr>
      </w:pPr>
    </w:p>
    <w:p w14:paraId="05F28BF8">
      <w:pPr>
        <w:rPr>
          <w:rFonts w:hint="eastAsia" w:ascii="Times New Roman" w:hAnsi="Times New Roman" w:eastAsia="黑体" w:cs="黑体"/>
          <w:sz w:val="24"/>
          <w:szCs w:val="24"/>
          <w:lang w:val="en-US" w:eastAsia="zh-CN"/>
        </w:rPr>
      </w:pPr>
      <w:r>
        <w:rPr>
          <w:rFonts w:hint="eastAsia" w:ascii="Times New Roman" w:hAnsi="Times New Roman" w:eastAsia="黑体" w:cs="黑体"/>
          <w:i w:val="0"/>
          <w:iCs w:val="0"/>
          <w:caps w:val="0"/>
          <w:color w:val="333333"/>
          <w:spacing w:val="0"/>
          <w:kern w:val="0"/>
          <w:sz w:val="24"/>
          <w:szCs w:val="24"/>
          <w:shd w:val="clear" w:fill="FFFFFF"/>
          <w:lang w:val="en-US" w:eastAsia="zh-CN" w:bidi="ar"/>
        </w:rPr>
        <w:t xml:space="preserve">报价单位：                                                                             </w:t>
      </w:r>
      <w:r>
        <w:rPr>
          <w:rFonts w:hint="eastAsia" w:ascii="Times New Roman" w:hAnsi="Times New Roman" w:eastAsia="黑体" w:cs="黑体"/>
          <w:sz w:val="24"/>
          <w:szCs w:val="24"/>
          <w:lang w:val="en-US" w:eastAsia="zh-CN"/>
        </w:rPr>
        <w:t>年    月    日</w:t>
      </w:r>
    </w:p>
    <w:tbl>
      <w:tblPr>
        <w:tblStyle w:val="5"/>
        <w:tblW w:w="1417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776"/>
        <w:gridCol w:w="1989"/>
        <w:gridCol w:w="2280"/>
        <w:gridCol w:w="3355"/>
        <w:gridCol w:w="1376"/>
        <w:gridCol w:w="1874"/>
        <w:gridCol w:w="2522"/>
      </w:tblGrid>
      <w:tr w14:paraId="0868AD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15" w:hRule="atLeast"/>
        </w:trPr>
        <w:tc>
          <w:tcPr>
            <w:tcW w:w="776"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51A7B169">
            <w:pPr>
              <w:bidi w:val="0"/>
              <w:jc w:val="center"/>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序号</w:t>
            </w:r>
          </w:p>
        </w:tc>
        <w:tc>
          <w:tcPr>
            <w:tcW w:w="1989"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471C3A42">
            <w:pPr>
              <w:bidi w:val="0"/>
              <w:jc w:val="center"/>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项目</w:t>
            </w:r>
          </w:p>
        </w:tc>
        <w:tc>
          <w:tcPr>
            <w:tcW w:w="2280"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5A6F0055">
            <w:pPr>
              <w:bidi w:val="0"/>
              <w:jc w:val="center"/>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监测点位级数量</w:t>
            </w:r>
          </w:p>
        </w:tc>
        <w:tc>
          <w:tcPr>
            <w:tcW w:w="3355"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7571204F">
            <w:pPr>
              <w:bidi w:val="0"/>
              <w:jc w:val="center"/>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监测指标</w:t>
            </w:r>
          </w:p>
        </w:tc>
        <w:tc>
          <w:tcPr>
            <w:tcW w:w="1376"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05C0EF5A">
            <w:pPr>
              <w:bidi w:val="0"/>
              <w:jc w:val="center"/>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监测频次</w:t>
            </w:r>
          </w:p>
        </w:tc>
        <w:tc>
          <w:tcPr>
            <w:tcW w:w="187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0ABF1FF1">
            <w:pPr>
              <w:bidi w:val="0"/>
              <w:jc w:val="center"/>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报价</w:t>
            </w:r>
          </w:p>
        </w:tc>
        <w:tc>
          <w:tcPr>
            <w:tcW w:w="2522"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4CFA1D74">
            <w:pPr>
              <w:bidi w:val="0"/>
              <w:jc w:val="center"/>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备注</w:t>
            </w:r>
          </w:p>
        </w:tc>
      </w:tr>
      <w:tr w14:paraId="28EEBE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879" w:hRule="atLeast"/>
        </w:trPr>
        <w:tc>
          <w:tcPr>
            <w:tcW w:w="776" w:type="dxa"/>
            <w:tcBorders>
              <w:top w:val="nil"/>
              <w:left w:val="single" w:color="auto" w:sz="8" w:space="0"/>
              <w:bottom w:val="single" w:color="auto" w:sz="4" w:space="0"/>
              <w:right w:val="single" w:color="auto" w:sz="8" w:space="0"/>
            </w:tcBorders>
            <w:shd w:val="clear" w:color="auto" w:fill="FFFFFF"/>
            <w:tcMar>
              <w:left w:w="108" w:type="dxa"/>
              <w:right w:w="108" w:type="dxa"/>
            </w:tcMar>
            <w:vAlign w:val="center"/>
          </w:tcPr>
          <w:p w14:paraId="3CAB491F">
            <w:pPr>
              <w:bidi w:val="0"/>
              <w:jc w:val="center"/>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1</w:t>
            </w:r>
          </w:p>
        </w:tc>
        <w:tc>
          <w:tcPr>
            <w:tcW w:w="1989" w:type="dxa"/>
            <w:tcBorders>
              <w:top w:val="nil"/>
              <w:left w:val="single" w:color="auto" w:sz="8" w:space="0"/>
              <w:bottom w:val="single" w:color="auto" w:sz="4" w:space="0"/>
              <w:right w:val="single" w:color="auto" w:sz="8" w:space="0"/>
            </w:tcBorders>
            <w:shd w:val="clear" w:color="auto" w:fill="FFFFFF"/>
            <w:tcMar>
              <w:left w:w="108" w:type="dxa"/>
              <w:right w:w="108" w:type="dxa"/>
            </w:tcMar>
            <w:vAlign w:val="center"/>
          </w:tcPr>
          <w:p w14:paraId="68A67E80">
            <w:pPr>
              <w:bidi w:val="0"/>
              <w:jc w:val="center"/>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2026年都江堰市地下水污染防治重点排污单位周边地下水监测项目</w:t>
            </w:r>
          </w:p>
        </w:tc>
        <w:tc>
          <w:tcPr>
            <w:tcW w:w="2280" w:type="dxa"/>
            <w:tcBorders>
              <w:top w:val="nil"/>
              <w:left w:val="single" w:color="auto" w:sz="8" w:space="0"/>
              <w:bottom w:val="single" w:color="auto" w:sz="4" w:space="0"/>
              <w:right w:val="single" w:color="auto" w:sz="8" w:space="0"/>
            </w:tcBorders>
            <w:shd w:val="clear" w:color="auto" w:fill="FFFFFF"/>
            <w:tcMar>
              <w:left w:w="108" w:type="dxa"/>
              <w:right w:w="108" w:type="dxa"/>
            </w:tcMar>
            <w:vAlign w:val="center"/>
          </w:tcPr>
          <w:p w14:paraId="4E300B4C">
            <w:pPr>
              <w:bidi w:val="0"/>
              <w:jc w:val="center"/>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都江堰市辖区内                 12口地下水监测井（青城山旅游装备产业功能区6口井、都江堰城乡生活垃圾卫生填埋场6口井）</w:t>
            </w:r>
          </w:p>
        </w:tc>
        <w:tc>
          <w:tcPr>
            <w:tcW w:w="3355" w:type="dxa"/>
            <w:tcBorders>
              <w:top w:val="nil"/>
              <w:left w:val="single" w:color="auto" w:sz="8" w:space="0"/>
              <w:bottom w:val="single" w:color="auto" w:sz="4" w:space="0"/>
              <w:right w:val="single" w:color="auto" w:sz="8" w:space="0"/>
            </w:tcBorders>
            <w:shd w:val="clear" w:color="auto" w:fill="FFFFFF"/>
            <w:tcMar>
              <w:left w:w="108" w:type="dxa"/>
              <w:right w:w="108" w:type="dxa"/>
            </w:tcMar>
            <w:vAlign w:val="center"/>
          </w:tcPr>
          <w:p w14:paraId="5F41BA30">
            <w:pPr>
              <w:bidi w:val="0"/>
              <w:jc w:val="center"/>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《地下水质量标准》(GB/T14848-2017)表1常规指标中的29项，包括pH、硫酸盐、氯化物、铁、锰、铜、锌、铝、挥发性酚类、阴离子表面活性剂、耗氧量(COD</w:t>
            </w:r>
            <w:r>
              <w:rPr>
                <w:rFonts w:hint="eastAsia" w:ascii="Times New Roman" w:hAnsi="Times New Roman" w:eastAsia="仿宋_GB2312" w:cs="仿宋_GB2312"/>
                <w:sz w:val="24"/>
                <w:szCs w:val="24"/>
                <w:vertAlign w:val="subscript"/>
                <w:lang w:val="en-US" w:eastAsia="zh-CN"/>
              </w:rPr>
              <w:t>Mn</w:t>
            </w:r>
            <w:r>
              <w:rPr>
                <w:rFonts w:hint="eastAsia" w:ascii="Times New Roman" w:hAnsi="Times New Roman" w:eastAsia="仿宋_GB2312" w:cs="仿宋_GB2312"/>
                <w:sz w:val="24"/>
                <w:szCs w:val="24"/>
                <w:lang w:val="en-US" w:eastAsia="zh-CN"/>
              </w:rPr>
              <w:t>法，以O</w:t>
            </w:r>
            <w:r>
              <w:rPr>
                <w:rFonts w:hint="eastAsia" w:ascii="Times New Roman" w:hAnsi="Times New Roman" w:eastAsia="仿宋_GB2312" w:cs="仿宋_GB2312"/>
                <w:sz w:val="24"/>
                <w:szCs w:val="24"/>
                <w:vertAlign w:val="subscript"/>
                <w:lang w:val="en-US" w:eastAsia="zh-CN"/>
              </w:rPr>
              <w:t>2</w:t>
            </w:r>
            <w:r>
              <w:rPr>
                <w:rFonts w:hint="eastAsia" w:ascii="Times New Roman" w:hAnsi="Times New Roman" w:eastAsia="仿宋_GB2312" w:cs="仿宋_GB2312"/>
                <w:sz w:val="24"/>
                <w:szCs w:val="24"/>
                <w:lang w:val="en-US" w:eastAsia="zh-CN"/>
              </w:rPr>
              <w:t>计)、氨氮、硫化物、钠、亚硝酸盐(以N计)、硝酸盐(以N计)、氰化物、氟化物、碘化物、汞、砷、硒、镉、铬(六价)、铅、三氯甲烷、四氯化碳、苯和甲苯。</w:t>
            </w:r>
          </w:p>
        </w:tc>
        <w:tc>
          <w:tcPr>
            <w:tcW w:w="1376" w:type="dxa"/>
            <w:tcBorders>
              <w:top w:val="nil"/>
              <w:left w:val="single" w:color="auto" w:sz="8" w:space="0"/>
              <w:bottom w:val="single" w:color="auto" w:sz="4" w:space="0"/>
              <w:right w:val="single" w:color="auto" w:sz="8" w:space="0"/>
            </w:tcBorders>
            <w:shd w:val="clear" w:color="auto" w:fill="FFFFFF"/>
            <w:tcMar>
              <w:left w:w="108" w:type="dxa"/>
              <w:right w:w="108" w:type="dxa"/>
            </w:tcMar>
            <w:vAlign w:val="center"/>
          </w:tcPr>
          <w:p w14:paraId="5A723822">
            <w:pPr>
              <w:bidi w:val="0"/>
              <w:jc w:val="center"/>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平水期1次</w:t>
            </w:r>
          </w:p>
        </w:tc>
        <w:tc>
          <w:tcPr>
            <w:tcW w:w="1874" w:type="dxa"/>
            <w:tcBorders>
              <w:top w:val="nil"/>
              <w:left w:val="single" w:color="auto" w:sz="8" w:space="0"/>
              <w:bottom w:val="single" w:color="auto" w:sz="4" w:space="0"/>
              <w:right w:val="single" w:color="auto" w:sz="8" w:space="0"/>
            </w:tcBorders>
            <w:shd w:val="clear" w:color="auto" w:fill="FFFFFF"/>
            <w:tcMar>
              <w:left w:w="108" w:type="dxa"/>
              <w:right w:w="108" w:type="dxa"/>
            </w:tcMar>
            <w:vAlign w:val="center"/>
          </w:tcPr>
          <w:p w14:paraId="360514C8">
            <w:pPr>
              <w:bidi w:val="0"/>
              <w:jc w:val="center"/>
              <w:rPr>
                <w:rFonts w:hint="eastAsia" w:ascii="Times New Roman" w:hAnsi="Times New Roman" w:eastAsia="仿宋_GB2312" w:cs="仿宋_GB2312"/>
                <w:sz w:val="24"/>
                <w:szCs w:val="24"/>
              </w:rPr>
            </w:pPr>
          </w:p>
        </w:tc>
        <w:tc>
          <w:tcPr>
            <w:tcW w:w="2522" w:type="dxa"/>
            <w:tcBorders>
              <w:top w:val="nil"/>
              <w:left w:val="single" w:color="auto" w:sz="8" w:space="0"/>
              <w:bottom w:val="single" w:color="auto" w:sz="4" w:space="0"/>
              <w:right w:val="single" w:color="auto" w:sz="8" w:space="0"/>
            </w:tcBorders>
            <w:shd w:val="clear" w:color="auto" w:fill="FFFFFF"/>
            <w:tcMar>
              <w:left w:w="108" w:type="dxa"/>
              <w:right w:w="108" w:type="dxa"/>
            </w:tcMar>
            <w:vAlign w:val="center"/>
          </w:tcPr>
          <w:p w14:paraId="2B5687C2">
            <w:pPr>
              <w:bidi w:val="0"/>
              <w:jc w:val="left"/>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特征指标:在基本指标的基础上，根据监测点位所在区域污染源特征，增加特征指标。四川省地下水环境调查评估与能力建设项目调查监测结果已超标，且不属于常规指标的，应作为特征指标进行监测。</w:t>
            </w:r>
          </w:p>
        </w:tc>
      </w:tr>
    </w:tbl>
    <w:p w14:paraId="2F2B103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Times New Roman" w:hAnsi="Times New Roman" w:eastAsia="黑体" w:cs="黑体"/>
          <w:b w:val="0"/>
          <w:kern w:val="2"/>
          <w:sz w:val="24"/>
          <w:szCs w:val="24"/>
          <w:lang w:val="en-US" w:eastAsia="zh-CN" w:bidi="ar-SA"/>
        </w:rPr>
      </w:pPr>
      <w:r>
        <w:rPr>
          <w:rFonts w:hint="eastAsia" w:ascii="Times New Roman" w:hAnsi="Times New Roman" w:eastAsia="黑体" w:cs="黑体"/>
          <w:b w:val="0"/>
          <w:kern w:val="2"/>
          <w:sz w:val="24"/>
          <w:szCs w:val="24"/>
          <w:lang w:val="en-US" w:eastAsia="zh-CN" w:bidi="ar-SA"/>
        </w:rPr>
        <w:t>（联系人：                                     联系方式：                         ）</w:t>
      </w:r>
    </w:p>
    <w:p w14:paraId="6489B289">
      <w:pPr>
        <w:keepNext w:val="0"/>
        <w:keepLines w:val="0"/>
        <w:pageBreakBefore w:val="0"/>
        <w:kinsoku/>
        <w:wordWrap/>
        <w:overflowPunct/>
        <w:topLinePunct w:val="0"/>
        <w:autoSpaceDE/>
        <w:autoSpaceDN/>
        <w:bidi w:val="0"/>
        <w:adjustRightInd/>
        <w:snapToGrid/>
        <w:spacing w:line="440" w:lineRule="exact"/>
        <w:textAlignment w:val="auto"/>
        <w:rPr>
          <w:rFonts w:hint="eastAsia" w:ascii="Times New Roman" w:hAnsi="Times New Roman" w:eastAsia="黑体" w:cs="黑体"/>
          <w:b w:val="0"/>
          <w:kern w:val="2"/>
          <w:sz w:val="24"/>
          <w:szCs w:val="24"/>
          <w:lang w:val="en-US" w:eastAsia="zh-CN" w:bidi="ar-SA"/>
        </w:rPr>
      </w:pPr>
    </w:p>
    <w:p w14:paraId="3EE99BE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eastAsia="仿宋" w:cs="仿宋"/>
          <w:sz w:val="28"/>
          <w:szCs w:val="28"/>
          <w:lang w:val="en-US" w:eastAsia="zh-CN"/>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文泉驿等宽正黑"/>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文泉驿等宽正黑">
    <w:panose1 w:val="02000603000000000000"/>
    <w:charset w:val="86"/>
    <w:family w:val="auto"/>
    <w:pitch w:val="default"/>
    <w:sig w:usb0="900002BF" w:usb1="2BDF7DFB" w:usb2="00000036" w:usb3="00000000" w:csb0="603E000D" w:csb1="D2D7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Unicode MS">
    <w:altName w:val="Times New Roman"/>
    <w:panose1 w:val="020B0604020202020204"/>
    <w:charset w:val="86"/>
    <w:family w:val="swiss"/>
    <w:pitch w:val="default"/>
    <w:sig w:usb0="00000000" w:usb1="00000000" w:usb2="0000003F" w:usb3="00000000" w:csb0="603F01FF" w:csb1="FFFF0000"/>
  </w:font>
  <w:font w:name="仿宋">
    <w:altName w:val="仿宋_GB2312"/>
    <w:panose1 w:val="02010609060101010101"/>
    <w:charset w:val="86"/>
    <w:family w:val="auto"/>
    <w:pitch w:val="default"/>
    <w:sig w:usb0="00000000" w:usb1="00000000"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kYzYzZTllNGFmODI3NzFlZGU4MTgyMTNjMjNhM2UifQ=="/>
  </w:docVars>
  <w:rsids>
    <w:rsidRoot w:val="79A15E3E"/>
    <w:rsid w:val="1EEC2C44"/>
    <w:rsid w:val="22B04827"/>
    <w:rsid w:val="2CF560EC"/>
    <w:rsid w:val="2DCD0EC1"/>
    <w:rsid w:val="3F57AB21"/>
    <w:rsid w:val="438D7242"/>
    <w:rsid w:val="79A15E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99"/>
  </w:style>
  <w:style w:type="paragraph" w:styleId="3">
    <w:name w:val="Body Text"/>
    <w:basedOn w:val="1"/>
    <w:next w:val="1"/>
    <w:qFormat/>
    <w:uiPriority w:val="0"/>
    <w:pPr>
      <w:spacing w:after="120" w:line="360" w:lineRule="auto"/>
    </w:pPr>
    <w:rPr>
      <w:sz w:val="28"/>
      <w:szCs w:val="2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1431</Words>
  <Characters>1541</Characters>
  <Lines>0</Lines>
  <Paragraphs>0</Paragraphs>
  <TotalTime>7</TotalTime>
  <ScaleCrop>false</ScaleCrop>
  <LinksUpToDate>false</LinksUpToDate>
  <CharactersWithSpaces>1736</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2026-09-28T17:18:00Z</dcterms:created>
  <dc:creator>风信子</dc:creator>
  <cp:lastModifiedBy>sthjj</cp:lastModifiedBy>
  <cp:lastPrinted>2026-10-15T15:29:00Z</cp:lastPrinted>
  <dcterms:modified xsi:type="dcterms:W3CDTF">2026-10-15T16:43:24Z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3E4C81EFA97F4B82BEFD638717FCC618_13</vt:lpwstr>
  </property>
  <property fmtid="{D5CDD505-2E9C-101B-9397-08002B2CF9AE}" pid="4" name="KSOTemplateDocerSaveRecord">
    <vt:lpwstr>eyJoZGlkIjoiN2M2ZTRmY2Y5OGQ2MjJiMDM1NzE4MjEyYmYzOGQ1N2QiLCJ1c2VySWQiOiI1MTU0NDE5NzUifQ==</vt:lpwstr>
  </property>
</Properties>
</file>