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CF03F">
      <w:pPr>
        <w:spacing w:line="360" w:lineRule="auto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2B718D62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评分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细则</w:t>
      </w:r>
    </w:p>
    <w:tbl>
      <w:tblPr>
        <w:tblStyle w:val="12"/>
        <w:tblW w:w="10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D0DDE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42"/>
        <w:gridCol w:w="1710"/>
        <w:gridCol w:w="7749"/>
      </w:tblGrid>
      <w:tr w14:paraId="4F33D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atLeast"/>
          <w:jc w:val="center"/>
        </w:trPr>
        <w:tc>
          <w:tcPr>
            <w:tcW w:w="742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434C3">
            <w:pPr>
              <w:kinsoku w:val="0"/>
              <w:topLinePunct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710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0F5CB">
            <w:pPr>
              <w:kinsoku w:val="0"/>
              <w:topLinePunct/>
              <w:ind w:firstLine="2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zh-TW" w:eastAsia="zh-TW"/>
              </w:rPr>
              <w:t>评审项目</w:t>
            </w:r>
          </w:p>
        </w:tc>
        <w:tc>
          <w:tcPr>
            <w:tcW w:w="7749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6FA5F">
            <w:pPr>
              <w:kinsoku w:val="0"/>
              <w:topLinePunct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zh-TW" w:eastAsia="zh-TW"/>
              </w:rPr>
              <w:t>评分标准</w:t>
            </w:r>
          </w:p>
        </w:tc>
      </w:tr>
      <w:tr w14:paraId="49300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3" w:hRule="atLeast"/>
          <w:jc w:val="center"/>
        </w:trPr>
        <w:tc>
          <w:tcPr>
            <w:tcW w:w="742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0D9FB">
            <w:pPr>
              <w:pageBreakBefore w:val="0"/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93CAF">
            <w:pPr>
              <w:pageBreakBefore w:val="0"/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pacing w:line="400" w:lineRule="exact"/>
              <w:ind w:firstLine="2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招标代理服务报价（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分）</w:t>
            </w:r>
          </w:p>
        </w:tc>
        <w:tc>
          <w:tcPr>
            <w:tcW w:w="7749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A9B9E">
            <w:pPr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autoSpaceDE/>
              <w:autoSpaceDN/>
              <w:bidi w:val="0"/>
              <w:adjustRightInd/>
              <w:spacing w:before="31" w:beforeLines="10" w:after="31" w:afterLines="10" w:line="400" w:lineRule="exact"/>
              <w:ind w:right="231" w:rightChars="0" w:firstLine="28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以本次有效的最低报价为基准价，其余报价得分=（基准价／比选申请人报价）×分值。</w:t>
            </w:r>
          </w:p>
        </w:tc>
      </w:tr>
      <w:tr w14:paraId="66BC2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75" w:hRule="atLeast"/>
          <w:jc w:val="center"/>
        </w:trPr>
        <w:tc>
          <w:tcPr>
            <w:tcW w:w="742" w:type="dxa"/>
            <w:vMerge w:val="restart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8F3DC">
            <w:pPr>
              <w:pageBreakBefore w:val="0"/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  <w:vMerge w:val="restart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00BCD">
            <w:pPr>
              <w:pageBreakBefore w:val="0"/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pacing w:line="400" w:lineRule="exact"/>
              <w:ind w:firstLine="2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项目管理机构（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分）</w:t>
            </w:r>
          </w:p>
        </w:tc>
        <w:tc>
          <w:tcPr>
            <w:tcW w:w="7749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84A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zh-TW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 w:eastAsia="zh-CN"/>
              </w:rPr>
              <w:t>比选申请人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/>
              </w:rPr>
              <w:t>面积在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㎡（含）以上的计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分，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200-300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㎡（含）计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分，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200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以下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的计1分，其余不得分。</w:t>
            </w:r>
          </w:p>
          <w:p w14:paraId="133C8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zh-TW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2.每具有1个独立开标室的得1分，最多得2分；</w:t>
            </w:r>
          </w:p>
          <w:p w14:paraId="5981BB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leftChars="0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zh-TW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3.每具有1个独立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zh-TW" w:eastAsia="zh-CN" w:bidi="ar-SA"/>
              </w:rPr>
              <w:t>监督室的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得1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zh-TW" w:eastAsia="zh-CN" w:bidi="ar-SA"/>
              </w:rPr>
              <w:t>分，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最多得2分；</w:t>
            </w:r>
          </w:p>
          <w:p w14:paraId="232BDC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leftChars="0"/>
              <w:textAlignment w:val="auto"/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4.每具有1个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zh-TW" w:eastAsia="zh-CN" w:bidi="ar-SA"/>
              </w:rPr>
              <w:t>电子化评标室的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得4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zh-TW" w:eastAsia="zh-CN" w:bidi="ar-SA"/>
              </w:rPr>
              <w:t>分，</w:t>
            </w: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最多得4分。</w:t>
            </w:r>
          </w:p>
          <w:p w14:paraId="5C6371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lef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说明：提供比选申请人的①开评标、监督室和电子化评标室场地照片，②租房合同或房屋产权证明复印件，加盖比选申请人公章。</w:t>
            </w:r>
          </w:p>
        </w:tc>
      </w:tr>
      <w:tr w14:paraId="73C07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76" w:hRule="atLeast"/>
          <w:jc w:val="center"/>
        </w:trPr>
        <w:tc>
          <w:tcPr>
            <w:tcW w:w="742" w:type="dxa"/>
            <w:vMerge w:val="continue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83C4E">
            <w:pPr>
              <w:pageBreakBefore w:val="0"/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79A35">
            <w:pPr>
              <w:pageBreakBefore w:val="0"/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pacing w:line="400" w:lineRule="exact"/>
              <w:ind w:firstLine="2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7749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E11E0">
            <w:pPr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本项目负责人具有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四川省评审专家资格证书的得8分。</w:t>
            </w:r>
          </w:p>
          <w:p w14:paraId="1C6E404F">
            <w:pPr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拟派本项目其他人员具有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3年及以上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政府采购代理服务从业经验的每人得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分，最多得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；</w:t>
            </w:r>
          </w:p>
          <w:p w14:paraId="44DBF5E9">
            <w:pPr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3.拟派本项目其他人员中具有四川省评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审专家资格证书的，每人得4分，最多得4分。</w:t>
            </w:r>
          </w:p>
          <w:p w14:paraId="1567C4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4"/>
                <w:szCs w:val="24"/>
              </w:rPr>
              <w:t>说明：上述人员的政府采购代理服务从业经验证明材料以《四川省养老保险历年缴费信息》中历史缴费情况为准，并加盖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4"/>
                <w:szCs w:val="24"/>
                <w:lang w:val="en-US" w:eastAsia="zh-CN"/>
              </w:rPr>
              <w:t>比选申请人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4"/>
                <w:szCs w:val="24"/>
              </w:rPr>
              <w:t>公章。</w:t>
            </w:r>
          </w:p>
        </w:tc>
      </w:tr>
      <w:tr w14:paraId="4B1BF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67" w:hRule="atLeast"/>
          <w:jc w:val="center"/>
        </w:trPr>
        <w:tc>
          <w:tcPr>
            <w:tcW w:w="742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6E3B1">
            <w:pPr>
              <w:pageBreakBefore w:val="0"/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10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C997B">
            <w:pPr>
              <w:pageBreakBefore w:val="0"/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pacing w:line="400" w:lineRule="exact"/>
              <w:ind w:firstLine="2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政府采购代理业绩（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分）</w:t>
            </w:r>
          </w:p>
        </w:tc>
        <w:tc>
          <w:tcPr>
            <w:tcW w:w="7749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E14DC">
            <w:pPr>
              <w:pStyle w:val="68"/>
              <w:pageBreakBefore w:val="0"/>
              <w:numPr>
                <w:ilvl w:val="0"/>
                <w:numId w:val="0"/>
              </w:numPr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根据比选申请人提供的2022年1月1日至今的四川省内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类采购项目业绩，其中：</w:t>
            </w:r>
          </w:p>
          <w:p w14:paraId="4B943F5C">
            <w:pPr>
              <w:pStyle w:val="68"/>
              <w:pageBreakBefore w:val="0"/>
              <w:numPr>
                <w:ilvl w:val="0"/>
                <w:numId w:val="0"/>
              </w:numPr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每具有1个政府采购项目业绩得2分，最多得10分（提供四川政府采购网结果公告加盖比选申请人公章）；</w:t>
            </w:r>
          </w:p>
          <w:p w14:paraId="58A1F5F5">
            <w:pPr>
              <w:pStyle w:val="68"/>
              <w:pageBreakBefore w:val="0"/>
              <w:numPr>
                <w:ilvl w:val="0"/>
                <w:numId w:val="0"/>
              </w:numPr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每具有1个非政府采购项目业绩得2分，最多得10分（提供结果公告加盖比选申请人公章）。</w:t>
            </w:r>
          </w:p>
        </w:tc>
      </w:tr>
      <w:tr w14:paraId="1D972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32" w:hRule="atLeast"/>
          <w:jc w:val="center"/>
        </w:trPr>
        <w:tc>
          <w:tcPr>
            <w:tcW w:w="742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5B00D">
            <w:pPr>
              <w:pageBreakBefore w:val="0"/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10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91527">
            <w:pPr>
              <w:pageBreakBefore w:val="0"/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pacing w:line="400" w:lineRule="exact"/>
              <w:ind w:firstLine="2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招标代理实施方案（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0分）</w:t>
            </w:r>
          </w:p>
        </w:tc>
        <w:tc>
          <w:tcPr>
            <w:tcW w:w="7749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96D96">
            <w:pPr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招标代理服务方案应至少包括：1.招标代理工作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/>
              </w:rPr>
              <w:t>流程；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2.招标代理工作质量保障措施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/>
              </w:rPr>
              <w:t>询问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 w:eastAsia="zh-CN"/>
              </w:rPr>
              <w:t>、质疑、投诉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/>
              </w:rPr>
              <w:t>处理；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4.拟投入本项目人员配置及职责分工。</w:t>
            </w:r>
          </w:p>
          <w:p w14:paraId="7A430AB8">
            <w:pPr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4"/>
                <w:szCs w:val="24"/>
                <w:lang w:val="zh-TW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针对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/>
              </w:rPr>
              <w:t>以上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/>
              </w:rPr>
              <w:t>项，分别进行综合比较评审，每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/>
              </w:rPr>
              <w:t>项优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 w:eastAsia="zh-TW"/>
              </w:rPr>
              <w:t>得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 w:eastAsia="zh-TW"/>
              </w:rPr>
              <w:t>分，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/>
              </w:rPr>
              <w:t>良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 w:eastAsia="zh-TW"/>
              </w:rPr>
              <w:t>得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 w:eastAsia="zh-TW"/>
              </w:rPr>
              <w:t>分，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/>
              </w:rPr>
              <w:t>一般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 w:eastAsia="zh-TW"/>
              </w:rPr>
              <w:t>得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 w:eastAsia="zh-TW"/>
              </w:rPr>
              <w:t>分，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/>
              </w:rPr>
              <w:t>差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 w:eastAsia="zh-TW"/>
              </w:rPr>
              <w:t>不得分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TW"/>
              </w:rPr>
              <w:t>，档次可并列。</w:t>
            </w:r>
          </w:p>
        </w:tc>
      </w:tr>
    </w:tbl>
    <w:p w14:paraId="1A1010AE">
      <w:pPr>
        <w:pageBreakBefore w:val="0"/>
        <w:wordWrap/>
        <w:overflowPunct/>
        <w:autoSpaceDE/>
        <w:autoSpaceDN/>
        <w:bidi w:val="0"/>
        <w:adjustRightInd/>
        <w:spacing w:line="400" w:lineRule="exact"/>
        <w:textAlignment w:val="auto"/>
        <w:rPr>
          <w:b/>
          <w:color w:val="FF0000"/>
          <w:sz w:val="30"/>
          <w:szCs w:val="30"/>
        </w:rPr>
      </w:pPr>
    </w:p>
    <w:sectPr>
      <w:footerReference r:id="rId3" w:type="default"/>
      <w:pgSz w:w="11906" w:h="16838"/>
      <w:pgMar w:top="1134" w:right="1474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56C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DC036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DC036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67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yYzcxNzg1YTg0M2YyOWE1ZjVkZDY2ZTBhNjA2MWUifQ=="/>
  </w:docVars>
  <w:rsids>
    <w:rsidRoot w:val="007B3EBB"/>
    <w:rsid w:val="00002AB5"/>
    <w:rsid w:val="00051172"/>
    <w:rsid w:val="00062242"/>
    <w:rsid w:val="00065CD7"/>
    <w:rsid w:val="000F7552"/>
    <w:rsid w:val="001365E1"/>
    <w:rsid w:val="001517C7"/>
    <w:rsid w:val="001F18DE"/>
    <w:rsid w:val="0021579E"/>
    <w:rsid w:val="003165C8"/>
    <w:rsid w:val="003667C3"/>
    <w:rsid w:val="00367703"/>
    <w:rsid w:val="00466CAB"/>
    <w:rsid w:val="004D3298"/>
    <w:rsid w:val="0053154C"/>
    <w:rsid w:val="00544803"/>
    <w:rsid w:val="005F04A7"/>
    <w:rsid w:val="00670887"/>
    <w:rsid w:val="0071451A"/>
    <w:rsid w:val="007B3EBB"/>
    <w:rsid w:val="007D0265"/>
    <w:rsid w:val="008F073E"/>
    <w:rsid w:val="009323C7"/>
    <w:rsid w:val="00937038"/>
    <w:rsid w:val="009765C4"/>
    <w:rsid w:val="00A343CC"/>
    <w:rsid w:val="00A7420B"/>
    <w:rsid w:val="00A96777"/>
    <w:rsid w:val="00AC00C7"/>
    <w:rsid w:val="00AC02E0"/>
    <w:rsid w:val="00AC1201"/>
    <w:rsid w:val="00AE7943"/>
    <w:rsid w:val="00BD50D6"/>
    <w:rsid w:val="00C27F06"/>
    <w:rsid w:val="00C40592"/>
    <w:rsid w:val="00CA563A"/>
    <w:rsid w:val="00CB7460"/>
    <w:rsid w:val="00D263F5"/>
    <w:rsid w:val="00D306DD"/>
    <w:rsid w:val="00E97F9A"/>
    <w:rsid w:val="00F96A31"/>
    <w:rsid w:val="00FB2BC9"/>
    <w:rsid w:val="00FD05E7"/>
    <w:rsid w:val="038B2C77"/>
    <w:rsid w:val="0472108C"/>
    <w:rsid w:val="04F815E4"/>
    <w:rsid w:val="08FE2EBC"/>
    <w:rsid w:val="0C80230E"/>
    <w:rsid w:val="124D401A"/>
    <w:rsid w:val="14D33E42"/>
    <w:rsid w:val="15126A81"/>
    <w:rsid w:val="165D408E"/>
    <w:rsid w:val="175A3139"/>
    <w:rsid w:val="1C264276"/>
    <w:rsid w:val="1CF11025"/>
    <w:rsid w:val="1D8D116F"/>
    <w:rsid w:val="26D33D1C"/>
    <w:rsid w:val="28C15BF7"/>
    <w:rsid w:val="2E4E1627"/>
    <w:rsid w:val="2F960104"/>
    <w:rsid w:val="328E699F"/>
    <w:rsid w:val="34B36AE9"/>
    <w:rsid w:val="3A1D593D"/>
    <w:rsid w:val="3A4411C1"/>
    <w:rsid w:val="47E9276D"/>
    <w:rsid w:val="4C7A3A1B"/>
    <w:rsid w:val="4CEC3A18"/>
    <w:rsid w:val="4D8D3AEC"/>
    <w:rsid w:val="4EF71CCF"/>
    <w:rsid w:val="50632B3C"/>
    <w:rsid w:val="54EE4340"/>
    <w:rsid w:val="55F7EC86"/>
    <w:rsid w:val="56021549"/>
    <w:rsid w:val="58201656"/>
    <w:rsid w:val="59A84483"/>
    <w:rsid w:val="5A3F2FCC"/>
    <w:rsid w:val="5B325313"/>
    <w:rsid w:val="5CA245F1"/>
    <w:rsid w:val="5DD97295"/>
    <w:rsid w:val="60726D03"/>
    <w:rsid w:val="624C1682"/>
    <w:rsid w:val="660F5943"/>
    <w:rsid w:val="6A5B6AE3"/>
    <w:rsid w:val="6AB75639"/>
    <w:rsid w:val="6D0B326E"/>
    <w:rsid w:val="6DC862CB"/>
    <w:rsid w:val="6F457B85"/>
    <w:rsid w:val="6FBE53DB"/>
    <w:rsid w:val="731F10EE"/>
    <w:rsid w:val="732255A4"/>
    <w:rsid w:val="748810F9"/>
    <w:rsid w:val="77276A0B"/>
    <w:rsid w:val="774D79E2"/>
    <w:rsid w:val="78472B6A"/>
    <w:rsid w:val="7BF81BBA"/>
    <w:rsid w:val="99FF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360" w:lineRule="auto"/>
      <w:outlineLvl w:val="2"/>
    </w:pPr>
    <w:rPr>
      <w:rFonts w:ascii="Times New Roman" w:hAnsi="Times New Roman"/>
      <w:b/>
      <w:bCs/>
      <w:sz w:val="24"/>
      <w:szCs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qFormat/>
    <w:uiPriority w:val="0"/>
    <w:pPr>
      <w:jc w:val="left"/>
    </w:pPr>
  </w:style>
  <w:style w:type="paragraph" w:styleId="5">
    <w:name w:val="Body Text"/>
    <w:basedOn w:val="1"/>
    <w:next w:val="1"/>
    <w:semiHidden/>
    <w:qFormat/>
    <w:uiPriority w:val="0"/>
    <w:pPr>
      <w:jc w:val="center"/>
    </w:pPr>
    <w:rPr>
      <w:rFonts w:ascii="Times New Roman" w:hAnsi="Times New Roman" w:eastAsia="黑体"/>
      <w:sz w:val="36"/>
    </w:rPr>
  </w:style>
  <w:style w:type="paragraph" w:styleId="6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9">
    <w:name w:val="toc 2"/>
    <w:basedOn w:val="1"/>
    <w:next w:val="1"/>
    <w:qFormat/>
    <w:uiPriority w:val="39"/>
    <w:pPr>
      <w:ind w:left="420" w:leftChars="200"/>
    </w:pPr>
    <w:rPr>
      <w:rFonts w:ascii="宋体" w:hAnsi="宋体"/>
      <w:sz w:val="28"/>
      <w:szCs w:val="24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11">
    <w:name w:val="annotation subject"/>
    <w:basedOn w:val="4"/>
    <w:next w:val="4"/>
    <w:link w:val="22"/>
    <w:qFormat/>
    <w:uiPriority w:val="0"/>
    <w:rPr>
      <w:b/>
      <w:bCs/>
    </w:rPr>
  </w:style>
  <w:style w:type="table" w:styleId="13">
    <w:name w:val="Table Grid"/>
    <w:basedOn w:val="1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llowedHyperlink"/>
    <w:basedOn w:val="14"/>
    <w:qFormat/>
    <w:uiPriority w:val="0"/>
    <w:rPr>
      <w:color w:val="2490F8"/>
      <w:u w:val="none"/>
    </w:rPr>
  </w:style>
  <w:style w:type="character" w:styleId="16">
    <w:name w:val="Emphasis"/>
    <w:basedOn w:val="14"/>
    <w:qFormat/>
    <w:uiPriority w:val="0"/>
  </w:style>
  <w:style w:type="character" w:styleId="17">
    <w:name w:val="Hyperlink"/>
    <w:basedOn w:val="14"/>
    <w:qFormat/>
    <w:uiPriority w:val="0"/>
    <w:rPr>
      <w:color w:val="2490F8"/>
      <w:u w:val="none"/>
    </w:rPr>
  </w:style>
  <w:style w:type="character" w:styleId="18">
    <w:name w:val="annotation reference"/>
    <w:basedOn w:val="14"/>
    <w:qFormat/>
    <w:uiPriority w:val="0"/>
    <w:rPr>
      <w:sz w:val="21"/>
      <w:szCs w:val="21"/>
    </w:rPr>
  </w:style>
  <w:style w:type="paragraph" w:customStyle="1" w:styleId="19">
    <w:name w:val="BG标题"/>
    <w:basedOn w:val="1"/>
    <w:next w:val="1"/>
    <w:qFormat/>
    <w:uiPriority w:val="0"/>
    <w:pPr>
      <w:spacing w:line="600" w:lineRule="exact"/>
      <w:jc w:val="center"/>
    </w:pPr>
    <w:rPr>
      <w:rFonts w:ascii="Times New Roman" w:hAnsi="Times New Roman" w:eastAsia="方正小标宋_GBK"/>
      <w:sz w:val="44"/>
      <w:szCs w:val="44"/>
    </w:rPr>
  </w:style>
  <w:style w:type="paragraph" w:customStyle="1" w:styleId="20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1">
    <w:name w:val="批注文字 字符"/>
    <w:basedOn w:val="14"/>
    <w:link w:val="4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22">
    <w:name w:val="批注主题 字符"/>
    <w:basedOn w:val="21"/>
    <w:link w:val="11"/>
    <w:qFormat/>
    <w:uiPriority w:val="0"/>
    <w:rPr>
      <w:rFonts w:ascii="Calibri" w:hAnsi="Calibri" w:eastAsia="宋体" w:cs="Times New Roman"/>
      <w:b/>
      <w:bCs/>
      <w:kern w:val="2"/>
      <w:sz w:val="21"/>
      <w:szCs w:val="22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paragraph" w:customStyle="1" w:styleId="24">
    <w:name w:val="BG正文"/>
    <w:basedOn w:val="1"/>
    <w:qFormat/>
    <w:uiPriority w:val="0"/>
    <w:pPr>
      <w:spacing w:line="600" w:lineRule="exact"/>
      <w:ind w:firstLine="200" w:firstLineChars="200"/>
    </w:pPr>
    <w:rPr>
      <w:rFonts w:eastAsia="方正仿宋_GBK" w:asciiTheme="minorHAnsi" w:hAnsiTheme="minorHAnsi" w:cstheme="minorBidi"/>
      <w:sz w:val="32"/>
      <w:szCs w:val="24"/>
    </w:rPr>
  </w:style>
  <w:style w:type="paragraph" w:customStyle="1" w:styleId="25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6">
    <w:name w:val="页眉 字符"/>
    <w:basedOn w:val="14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7">
    <w:name w:val="页脚 字符"/>
    <w:basedOn w:val="14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8">
    <w:name w:val="图文"/>
    <w:basedOn w:val="1"/>
    <w:qFormat/>
    <w:uiPriority w:val="0"/>
    <w:pPr>
      <w:snapToGrid w:val="0"/>
      <w:spacing w:after="50" w:line="360" w:lineRule="auto"/>
    </w:pPr>
    <w:rPr>
      <w:rFonts w:ascii="Times New Roman" w:hAnsi="Times New Roman"/>
      <w:sz w:val="24"/>
      <w:szCs w:val="24"/>
    </w:rPr>
  </w:style>
  <w:style w:type="paragraph" w:customStyle="1" w:styleId="29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0">
    <w:name w:val="iconline2"/>
    <w:basedOn w:val="14"/>
    <w:qFormat/>
    <w:uiPriority w:val="0"/>
  </w:style>
  <w:style w:type="character" w:customStyle="1" w:styleId="31">
    <w:name w:val="iconline21"/>
    <w:basedOn w:val="14"/>
    <w:qFormat/>
    <w:uiPriority w:val="0"/>
  </w:style>
  <w:style w:type="character" w:customStyle="1" w:styleId="32">
    <w:name w:val="hilite6"/>
    <w:basedOn w:val="14"/>
    <w:qFormat/>
    <w:uiPriority w:val="0"/>
    <w:rPr>
      <w:color w:val="FFFFFF"/>
      <w:shd w:val="clear" w:fill="666666"/>
    </w:rPr>
  </w:style>
  <w:style w:type="character" w:customStyle="1" w:styleId="33">
    <w:name w:val="pagechatarealistclose_box"/>
    <w:basedOn w:val="14"/>
    <w:qFormat/>
    <w:uiPriority w:val="0"/>
  </w:style>
  <w:style w:type="character" w:customStyle="1" w:styleId="34">
    <w:name w:val="pagechatarealistclose_box1"/>
    <w:basedOn w:val="14"/>
    <w:qFormat/>
    <w:uiPriority w:val="0"/>
  </w:style>
  <w:style w:type="character" w:customStyle="1" w:styleId="35">
    <w:name w:val="deleterow"/>
    <w:basedOn w:val="14"/>
    <w:qFormat/>
    <w:uiPriority w:val="0"/>
    <w:rPr>
      <w:color w:val="FF5E5E"/>
    </w:rPr>
  </w:style>
  <w:style w:type="character" w:customStyle="1" w:styleId="36">
    <w:name w:val="cy"/>
    <w:basedOn w:val="14"/>
    <w:qFormat/>
    <w:uiPriority w:val="0"/>
  </w:style>
  <w:style w:type="character" w:customStyle="1" w:styleId="37">
    <w:name w:val="button4"/>
    <w:basedOn w:val="14"/>
    <w:qFormat/>
    <w:uiPriority w:val="0"/>
  </w:style>
  <w:style w:type="character" w:customStyle="1" w:styleId="38">
    <w:name w:val="associateddata"/>
    <w:basedOn w:val="14"/>
    <w:qFormat/>
    <w:uiPriority w:val="0"/>
    <w:rPr>
      <w:shd w:val="clear" w:fill="50A6F9"/>
    </w:rPr>
  </w:style>
  <w:style w:type="character" w:customStyle="1" w:styleId="39">
    <w:name w:val="icontext2"/>
    <w:basedOn w:val="14"/>
    <w:qFormat/>
    <w:uiPriority w:val="0"/>
  </w:style>
  <w:style w:type="character" w:customStyle="1" w:styleId="40">
    <w:name w:val="ico1654"/>
    <w:basedOn w:val="14"/>
    <w:qFormat/>
    <w:uiPriority w:val="0"/>
  </w:style>
  <w:style w:type="character" w:customStyle="1" w:styleId="41">
    <w:name w:val="ico1655"/>
    <w:basedOn w:val="14"/>
    <w:qFormat/>
    <w:uiPriority w:val="0"/>
  </w:style>
  <w:style w:type="character" w:customStyle="1" w:styleId="42">
    <w:name w:val="w32"/>
    <w:basedOn w:val="14"/>
    <w:qFormat/>
    <w:uiPriority w:val="0"/>
  </w:style>
  <w:style w:type="character" w:customStyle="1" w:styleId="43">
    <w:name w:val="icontext3"/>
    <w:basedOn w:val="14"/>
    <w:qFormat/>
    <w:uiPriority w:val="0"/>
  </w:style>
  <w:style w:type="character" w:customStyle="1" w:styleId="44">
    <w:name w:val="copyrow"/>
    <w:basedOn w:val="14"/>
    <w:qFormat/>
    <w:uiPriority w:val="0"/>
    <w:rPr>
      <w:color w:val="1F85EC"/>
    </w:rPr>
  </w:style>
  <w:style w:type="character" w:customStyle="1" w:styleId="45">
    <w:name w:val="active3"/>
    <w:basedOn w:val="14"/>
    <w:qFormat/>
    <w:uiPriority w:val="0"/>
    <w:rPr>
      <w:shd w:val="clear" w:fill="EC3535"/>
    </w:rPr>
  </w:style>
  <w:style w:type="character" w:customStyle="1" w:styleId="46">
    <w:name w:val="active4"/>
    <w:basedOn w:val="14"/>
    <w:qFormat/>
    <w:uiPriority w:val="0"/>
    <w:rPr>
      <w:color w:val="00FF00"/>
      <w:shd w:val="clear" w:fill="111111"/>
    </w:rPr>
  </w:style>
  <w:style w:type="character" w:customStyle="1" w:styleId="47">
    <w:name w:val="icontext1"/>
    <w:basedOn w:val="14"/>
    <w:qFormat/>
    <w:uiPriority w:val="0"/>
  </w:style>
  <w:style w:type="character" w:customStyle="1" w:styleId="48">
    <w:name w:val="icontext11"/>
    <w:basedOn w:val="14"/>
    <w:qFormat/>
    <w:uiPriority w:val="0"/>
  </w:style>
  <w:style w:type="character" w:customStyle="1" w:styleId="49">
    <w:name w:val="icontext12"/>
    <w:basedOn w:val="14"/>
    <w:qFormat/>
    <w:uiPriority w:val="0"/>
  </w:style>
  <w:style w:type="character" w:customStyle="1" w:styleId="50">
    <w:name w:val="first-child"/>
    <w:basedOn w:val="14"/>
    <w:qFormat/>
    <w:uiPriority w:val="0"/>
  </w:style>
  <w:style w:type="character" w:customStyle="1" w:styleId="51">
    <w:name w:val="after"/>
    <w:basedOn w:val="14"/>
    <w:qFormat/>
    <w:uiPriority w:val="0"/>
    <w:rPr>
      <w:sz w:val="0"/>
      <w:szCs w:val="0"/>
    </w:rPr>
  </w:style>
  <w:style w:type="character" w:customStyle="1" w:styleId="52">
    <w:name w:val="tmpztreemove_arrow"/>
    <w:basedOn w:val="14"/>
    <w:qFormat/>
    <w:uiPriority w:val="0"/>
  </w:style>
  <w:style w:type="character" w:customStyle="1" w:styleId="53">
    <w:name w:val="cdropleft"/>
    <w:basedOn w:val="14"/>
    <w:qFormat/>
    <w:uiPriority w:val="0"/>
  </w:style>
  <w:style w:type="character" w:customStyle="1" w:styleId="54">
    <w:name w:val="cdropright"/>
    <w:basedOn w:val="14"/>
    <w:qFormat/>
    <w:uiPriority w:val="0"/>
  </w:style>
  <w:style w:type="character" w:customStyle="1" w:styleId="55">
    <w:name w:val="drapbtn"/>
    <w:basedOn w:val="14"/>
    <w:qFormat/>
    <w:uiPriority w:val="0"/>
  </w:style>
  <w:style w:type="character" w:customStyle="1" w:styleId="56">
    <w:name w:val="layui-layer-tabnow"/>
    <w:basedOn w:val="14"/>
    <w:qFormat/>
    <w:uiPriority w:val="0"/>
    <w:rPr>
      <w:bdr w:val="single" w:color="CCCCCC" w:sz="6" w:space="0"/>
      <w:shd w:val="clear" w:fill="FFFFFF"/>
    </w:rPr>
  </w:style>
  <w:style w:type="character" w:customStyle="1" w:styleId="57">
    <w:name w:val="insertrow"/>
    <w:basedOn w:val="14"/>
    <w:qFormat/>
    <w:uiPriority w:val="0"/>
    <w:rPr>
      <w:color w:val="1F85EC"/>
    </w:rPr>
  </w:style>
  <w:style w:type="character" w:customStyle="1" w:styleId="58">
    <w:name w:val="ico16"/>
    <w:basedOn w:val="14"/>
    <w:qFormat/>
    <w:uiPriority w:val="0"/>
  </w:style>
  <w:style w:type="character" w:customStyle="1" w:styleId="59">
    <w:name w:val="active6"/>
    <w:basedOn w:val="14"/>
    <w:qFormat/>
    <w:uiPriority w:val="0"/>
    <w:rPr>
      <w:shd w:val="clear" w:fill="EC3535"/>
    </w:rPr>
  </w:style>
  <w:style w:type="character" w:customStyle="1" w:styleId="60">
    <w:name w:val="active7"/>
    <w:basedOn w:val="14"/>
    <w:qFormat/>
    <w:uiPriority w:val="0"/>
    <w:rPr>
      <w:color w:val="00FF00"/>
      <w:shd w:val="clear" w:fill="111111"/>
    </w:rPr>
  </w:style>
  <w:style w:type="character" w:customStyle="1" w:styleId="61">
    <w:name w:val="active"/>
    <w:basedOn w:val="14"/>
    <w:qFormat/>
    <w:uiPriority w:val="0"/>
    <w:rPr>
      <w:color w:val="00FF00"/>
      <w:shd w:val="clear" w:fill="111111"/>
    </w:rPr>
  </w:style>
  <w:style w:type="character" w:customStyle="1" w:styleId="62">
    <w:name w:val="active1"/>
    <w:basedOn w:val="14"/>
    <w:qFormat/>
    <w:uiPriority w:val="0"/>
    <w:rPr>
      <w:shd w:val="clear" w:fill="EC3535"/>
    </w:rPr>
  </w:style>
  <w:style w:type="character" w:customStyle="1" w:styleId="63">
    <w:name w:val="ico1651"/>
    <w:basedOn w:val="14"/>
    <w:qFormat/>
    <w:uiPriority w:val="0"/>
  </w:style>
  <w:style w:type="character" w:customStyle="1" w:styleId="64">
    <w:name w:val="ico1652"/>
    <w:basedOn w:val="14"/>
    <w:qFormat/>
    <w:uiPriority w:val="0"/>
  </w:style>
  <w:style w:type="character" w:customStyle="1" w:styleId="65">
    <w:name w:val="active8"/>
    <w:basedOn w:val="14"/>
    <w:qFormat/>
    <w:uiPriority w:val="0"/>
    <w:rPr>
      <w:color w:val="00FF00"/>
      <w:shd w:val="clear" w:fill="111111"/>
    </w:rPr>
  </w:style>
  <w:style w:type="character" w:customStyle="1" w:styleId="66">
    <w:name w:val="active9"/>
    <w:basedOn w:val="14"/>
    <w:qFormat/>
    <w:uiPriority w:val="0"/>
    <w:rPr>
      <w:shd w:val="clear" w:fill="EC3535"/>
    </w:rPr>
  </w:style>
  <w:style w:type="paragraph" w:customStyle="1" w:styleId="67">
    <w:name w:val="标题 5（有编号）（绿盟科技）"/>
    <w:basedOn w:val="1"/>
    <w:next w:val="68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68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1105</Words>
  <Characters>1129</Characters>
  <Lines>26</Lines>
  <Paragraphs>7</Paragraphs>
  <TotalTime>9</TotalTime>
  <ScaleCrop>false</ScaleCrop>
  <LinksUpToDate>false</LinksUpToDate>
  <CharactersWithSpaces>1335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2023-05-25T06:14:00Z</dcterms:created>
  <dc:creator>yaoyao</dc:creator>
  <cp:lastModifiedBy>芮安</cp:lastModifiedBy>
  <cp:lastPrinted>2022-07-05T05:48:00Z</cp:lastPrinted>
  <dcterms:modified xsi:type="dcterms:W3CDTF">2026-07-31T13:19:14Z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004AE1F7EBCC4D128083E96D4D41F027_13</vt:lpwstr>
  </property>
  <property fmtid="{D5CDD505-2E9C-101B-9397-08002B2CF9AE}" pid="4" name="KSOTemplateDocerSaveRecord">
    <vt:lpwstr>eyJoZGlkIjoiZTg1MzE2ZmQyOTE2NGRlYzJkODNmNzIyOTg5YjA3MmIiLCJ1c2VySWQiOiIzOTUwNTIyNTkifQ==</vt:lpwstr>
  </property>
</Properties>
</file>