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0446A1">
      <w:pPr>
        <w:numPr>
          <w:ilvl w:val="0"/>
          <w:numId w:val="0"/>
        </w:numPr>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pPr>
      <w:r>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t>附件1</w:t>
      </w:r>
    </w:p>
    <w:p w14:paraId="2077B6B5">
      <w:pPr>
        <w:numPr>
          <w:ilvl w:val="0"/>
          <w:numId w:val="0"/>
        </w:numPr>
        <w:jc w:val="center"/>
        <w:rPr>
          <w:rFonts w:hint="default"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pPr>
      <w:r>
        <w:rPr>
          <w:rFonts w:hint="default"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t>法定代表人授权书</w:t>
      </w:r>
    </w:p>
    <w:p w14:paraId="5AE70C91">
      <w:pPr>
        <w:numPr>
          <w:ilvl w:val="0"/>
          <w:numId w:val="0"/>
        </w:numPr>
        <w:ind w:left="0" w:leftChars="0" w:firstLine="600" w:firstLineChars="200"/>
        <w:rPr>
          <w:rFonts w:hint="default"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pPr>
    </w:p>
    <w:p w14:paraId="313CAD06">
      <w:pPr>
        <w:numPr>
          <w:ilvl w:val="0"/>
          <w:numId w:val="0"/>
        </w:numPr>
        <w:ind w:left="0" w:leftChars="0" w:firstLine="600" w:firstLineChars="200"/>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pPr>
      <w:r>
        <w:rPr>
          <w:rFonts w:hint="eastAsia" w:ascii="方正仿宋_GB2312" w:hAnsi="方正仿宋_GB2312" w:eastAsia="方正仿宋_GB2312" w:cs="方正仿宋_GB2312"/>
          <w:sz w:val="30"/>
          <w:szCs w:val="30"/>
        </w:rPr>
        <w:t>本授权委托书声明：我</w:t>
      </w:r>
      <w:r>
        <w:rPr>
          <w:rFonts w:hint="eastAsia" w:ascii="方正仿宋_GB2312" w:hAnsi="方正仿宋_GB2312" w:eastAsia="方正仿宋_GB2312" w:cs="方正仿宋_GB2312"/>
          <w:sz w:val="30"/>
          <w:szCs w:val="30"/>
          <w:u w:val="single"/>
        </w:rPr>
        <w:t>（姓名）</w:t>
      </w:r>
      <w:r>
        <w:rPr>
          <w:rFonts w:hint="eastAsia" w:ascii="方正仿宋_GB2312" w:hAnsi="方正仿宋_GB2312" w:eastAsia="方正仿宋_GB2312" w:cs="方正仿宋_GB2312"/>
          <w:sz w:val="30"/>
          <w:szCs w:val="30"/>
        </w:rPr>
        <w:t>系</w:t>
      </w:r>
      <w:r>
        <w:rPr>
          <w:rFonts w:hint="eastAsia" w:ascii="方正仿宋_GB2312" w:hAnsi="方正仿宋_GB2312" w:eastAsia="方正仿宋_GB2312" w:cs="方正仿宋_GB2312"/>
          <w:sz w:val="30"/>
          <w:szCs w:val="30"/>
          <w:u w:val="single"/>
        </w:rPr>
        <w:t>（比选申请人）</w:t>
      </w:r>
      <w:r>
        <w:rPr>
          <w:rFonts w:hint="eastAsia" w:ascii="方正仿宋_GB2312" w:hAnsi="方正仿宋_GB2312" w:eastAsia="方正仿宋_GB2312" w:cs="方正仿宋_GB2312"/>
          <w:sz w:val="30"/>
          <w:szCs w:val="30"/>
        </w:rPr>
        <w:t>的法定代表人，现授权</w:t>
      </w:r>
      <w:r>
        <w:rPr>
          <w:rFonts w:hint="eastAsia" w:ascii="方正仿宋_GB2312" w:hAnsi="方正仿宋_GB2312" w:eastAsia="方正仿宋_GB2312" w:cs="方正仿宋_GB2312"/>
          <w:sz w:val="30"/>
          <w:szCs w:val="30"/>
          <w:u w:val="single"/>
        </w:rPr>
        <w:t>（姓名）</w:t>
      </w:r>
      <w:r>
        <w:rPr>
          <w:rFonts w:hint="eastAsia" w:ascii="方正仿宋_GB2312" w:hAnsi="方正仿宋_GB2312" w:eastAsia="方正仿宋_GB2312" w:cs="方正仿宋_GB2312"/>
          <w:sz w:val="30"/>
          <w:szCs w:val="30"/>
        </w:rPr>
        <w:t>为我公司委托代理人，以本公司的名义参加</w:t>
      </w:r>
      <w:r>
        <w:rPr>
          <w:rFonts w:hint="eastAsia" w:ascii="方正仿宋_GB2312" w:hAnsi="方正仿宋_GB2312" w:eastAsia="方正仿宋_GB2312" w:cs="方正仿宋_GB2312"/>
          <w:sz w:val="30"/>
          <w:szCs w:val="30"/>
          <w:u w:val="single"/>
          <w:lang w:eastAsia="zh-CN"/>
        </w:rPr>
        <w:t>（</w:t>
      </w:r>
      <w:r>
        <w:rPr>
          <w:rFonts w:hint="eastAsia" w:ascii="方正仿宋_GB2312" w:hAnsi="方正仿宋_GB2312" w:eastAsia="方正仿宋_GB2312" w:cs="方正仿宋_GB2312"/>
          <w:sz w:val="30"/>
          <w:szCs w:val="30"/>
          <w:u w:val="single"/>
          <w:lang w:val="en-US" w:eastAsia="zh-CN"/>
        </w:rPr>
        <w:t>项目名称</w:t>
      </w:r>
      <w:r>
        <w:rPr>
          <w:rFonts w:hint="eastAsia" w:ascii="方正仿宋_GB2312" w:hAnsi="方正仿宋_GB2312" w:eastAsia="方正仿宋_GB2312" w:cs="方正仿宋_GB2312"/>
          <w:sz w:val="30"/>
          <w:szCs w:val="30"/>
          <w:u w:val="single"/>
          <w:lang w:eastAsia="zh-CN"/>
        </w:rPr>
        <w:t>）</w:t>
      </w:r>
      <w:r>
        <w:rPr>
          <w:rFonts w:hint="eastAsia" w:ascii="方正仿宋_GB2312" w:hAnsi="方正仿宋_GB2312" w:eastAsia="方正仿宋_GB2312" w:cs="方正仿宋_GB2312"/>
          <w:sz w:val="30"/>
          <w:szCs w:val="30"/>
        </w:rPr>
        <w:t>的活动。</w:t>
      </w:r>
      <w:r>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t>委托代理人在比选活动和委托代理合同谈判过程中所签署的一切文件和处理与之有关的一切事务，我及我公司均予以承认并全部承担其所产生的所有权利和义务。</w:t>
      </w:r>
    </w:p>
    <w:p w14:paraId="2ED57B09">
      <w:pPr>
        <w:numPr>
          <w:ilvl w:val="0"/>
          <w:numId w:val="0"/>
        </w:numPr>
        <w:ind w:left="0" w:leftChars="0" w:firstLine="600" w:firstLineChars="200"/>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pPr>
      <w:r>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t>委托代理人无转委托权。特此委托。</w:t>
      </w:r>
    </w:p>
    <w:p w14:paraId="3A8928D4">
      <w:pPr>
        <w:ind w:firstLine="600" w:firstLineChars="200"/>
        <w:rPr>
          <w:rFonts w:hint="eastAsia" w:ascii="方正仿宋_GB2312" w:hAnsi="方正仿宋_GB2312" w:eastAsia="方正仿宋_GB2312" w:cs="方正仿宋_GB2312"/>
          <w:sz w:val="30"/>
          <w:szCs w:val="30"/>
        </w:rPr>
      </w:pPr>
    </w:p>
    <w:p w14:paraId="266EF10C">
      <w:pPr>
        <w:rPr>
          <w:rFonts w:hint="eastAsia" w:ascii="方正仿宋_GB2312" w:hAnsi="方正仿宋_GB2312" w:eastAsia="方正仿宋_GB2312" w:cs="方正仿宋_GB2312"/>
          <w:sz w:val="30"/>
          <w:szCs w:val="30"/>
          <w:u w:val="single"/>
        </w:rPr>
      </w:pPr>
      <w:r>
        <w:rPr>
          <w:rFonts w:hint="eastAsia" w:ascii="方正仿宋_GB2312" w:hAnsi="方正仿宋_GB2312" w:eastAsia="方正仿宋_GB2312" w:cs="方正仿宋_GB2312"/>
          <w:sz w:val="30"/>
          <w:szCs w:val="30"/>
        </w:rPr>
        <w:t>委托代理人：</w:t>
      </w:r>
      <w:r>
        <w:rPr>
          <w:rFonts w:hint="eastAsia" w:ascii="方正仿宋_GB2312" w:hAnsi="方正仿宋_GB2312" w:eastAsia="方正仿宋_GB2312" w:cs="方正仿宋_GB2312"/>
          <w:sz w:val="30"/>
          <w:szCs w:val="30"/>
          <w:u w:val="single"/>
        </w:rPr>
        <w:t xml:space="preserve">  （签字）     </w:t>
      </w:r>
      <w:r>
        <w:rPr>
          <w:rFonts w:hint="eastAsia" w:ascii="方正仿宋_GB2312" w:hAnsi="方正仿宋_GB2312" w:eastAsia="方正仿宋_GB2312" w:cs="方正仿宋_GB2312"/>
          <w:sz w:val="30"/>
          <w:szCs w:val="30"/>
        </w:rPr>
        <w:t xml:space="preserve">  </w:t>
      </w:r>
    </w:p>
    <w:p w14:paraId="6F44829A">
      <w:pPr>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委托代理人职务：</w:t>
      </w:r>
      <w:r>
        <w:rPr>
          <w:rFonts w:hint="eastAsia" w:ascii="方正仿宋_GB2312" w:hAnsi="方正仿宋_GB2312" w:eastAsia="方正仿宋_GB2312" w:cs="方正仿宋_GB2312"/>
          <w:sz w:val="30"/>
          <w:szCs w:val="30"/>
          <w:u w:val="single"/>
        </w:rPr>
        <w:t xml:space="preserve">            </w:t>
      </w:r>
      <w:r>
        <w:rPr>
          <w:rFonts w:hint="eastAsia" w:ascii="方正仿宋_GB2312" w:hAnsi="方正仿宋_GB2312" w:eastAsia="方正仿宋_GB2312" w:cs="方正仿宋_GB2312"/>
          <w:sz w:val="30"/>
          <w:szCs w:val="30"/>
        </w:rPr>
        <w:t xml:space="preserve"> </w:t>
      </w:r>
    </w:p>
    <w:p w14:paraId="0A136FAD">
      <w:pPr>
        <w:rPr>
          <w:rFonts w:hint="eastAsia" w:ascii="方正仿宋_GB2312" w:hAnsi="方正仿宋_GB2312" w:eastAsia="方正仿宋_GB2312" w:cs="方正仿宋_GB2312"/>
          <w:sz w:val="30"/>
          <w:szCs w:val="30"/>
          <w:u w:val="single"/>
        </w:rPr>
      </w:pPr>
      <w:r>
        <w:rPr>
          <w:rFonts w:hint="eastAsia" w:ascii="方正仿宋_GB2312" w:hAnsi="方正仿宋_GB2312" w:eastAsia="方正仿宋_GB2312" w:cs="方正仿宋_GB2312"/>
          <w:sz w:val="30"/>
          <w:szCs w:val="30"/>
        </w:rPr>
        <w:t>委托代理人（电话）</w:t>
      </w:r>
      <w:r>
        <w:rPr>
          <w:rFonts w:hint="eastAsia" w:ascii="方正仿宋_GB2312" w:hAnsi="方正仿宋_GB2312" w:eastAsia="方正仿宋_GB2312" w:cs="方正仿宋_GB2312"/>
          <w:sz w:val="30"/>
          <w:szCs w:val="30"/>
          <w:u w:val="single"/>
        </w:rPr>
        <w:t xml:space="preserve">               </w:t>
      </w:r>
      <w:r>
        <w:rPr>
          <w:rFonts w:hint="eastAsia" w:ascii="方正仿宋_GB2312" w:hAnsi="方正仿宋_GB2312" w:eastAsia="方正仿宋_GB2312" w:cs="方正仿宋_GB2312"/>
          <w:sz w:val="30"/>
          <w:szCs w:val="30"/>
        </w:rPr>
        <w:t xml:space="preserve">（手机） </w:t>
      </w:r>
      <w:r>
        <w:rPr>
          <w:rFonts w:hint="eastAsia" w:ascii="方正仿宋_GB2312" w:hAnsi="方正仿宋_GB2312" w:eastAsia="方正仿宋_GB2312" w:cs="方正仿宋_GB2312"/>
          <w:sz w:val="30"/>
          <w:szCs w:val="30"/>
          <w:u w:val="single"/>
        </w:rPr>
        <w:t xml:space="preserve">              </w:t>
      </w:r>
    </w:p>
    <w:p w14:paraId="69437620">
      <w:pPr>
        <w:rPr>
          <w:rFonts w:hint="eastAsia" w:ascii="方正仿宋_GB2312" w:hAnsi="方正仿宋_GB2312" w:eastAsia="方正仿宋_GB2312" w:cs="方正仿宋_GB2312"/>
          <w:sz w:val="30"/>
          <w:szCs w:val="30"/>
        </w:rPr>
      </w:pPr>
    </w:p>
    <w:p w14:paraId="32B34D11">
      <w:pPr>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 xml:space="preserve">         </w:t>
      </w:r>
    </w:p>
    <w:p w14:paraId="2D5FC31A">
      <w:pPr>
        <w:jc w:val="center"/>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 xml:space="preserve">                    授权人（法定代表人）：</w:t>
      </w:r>
      <w:r>
        <w:rPr>
          <w:rFonts w:hint="eastAsia" w:ascii="方正仿宋_GB2312" w:hAnsi="方正仿宋_GB2312" w:eastAsia="方正仿宋_GB2312" w:cs="方正仿宋_GB2312"/>
          <w:sz w:val="30"/>
          <w:szCs w:val="30"/>
          <w:u w:val="single"/>
        </w:rPr>
        <w:t xml:space="preserve"> （签字）      </w:t>
      </w:r>
    </w:p>
    <w:p w14:paraId="3444BB18">
      <w:pPr>
        <w:jc w:val="right"/>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比选申请人：</w:t>
      </w:r>
      <w:r>
        <w:rPr>
          <w:rFonts w:hint="eastAsia" w:ascii="方正仿宋_GB2312" w:hAnsi="方正仿宋_GB2312" w:eastAsia="方正仿宋_GB2312" w:cs="方正仿宋_GB2312"/>
          <w:sz w:val="30"/>
          <w:szCs w:val="30"/>
          <w:u w:val="single"/>
        </w:rPr>
        <w:t xml:space="preserve">（全称并加盖单位章）  </w:t>
      </w:r>
    </w:p>
    <w:p w14:paraId="2404DC5B">
      <w:pPr>
        <w:ind w:firstLine="795"/>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 xml:space="preserve">                 日期：</w:t>
      </w:r>
      <w:r>
        <w:rPr>
          <w:rFonts w:hint="eastAsia" w:ascii="方正仿宋_GB2312" w:hAnsi="方正仿宋_GB2312" w:eastAsia="方正仿宋_GB2312" w:cs="方正仿宋_GB2312"/>
          <w:sz w:val="30"/>
          <w:szCs w:val="30"/>
          <w:u w:val="single"/>
        </w:rPr>
        <w:t xml:space="preserve">        </w:t>
      </w:r>
      <w:r>
        <w:rPr>
          <w:rFonts w:hint="eastAsia" w:ascii="方正仿宋_GB2312" w:hAnsi="方正仿宋_GB2312" w:eastAsia="方正仿宋_GB2312" w:cs="方正仿宋_GB2312"/>
          <w:sz w:val="30"/>
          <w:szCs w:val="30"/>
        </w:rPr>
        <w:t>年</w:t>
      </w:r>
      <w:r>
        <w:rPr>
          <w:rFonts w:hint="eastAsia" w:ascii="方正仿宋_GB2312" w:hAnsi="方正仿宋_GB2312" w:eastAsia="方正仿宋_GB2312" w:cs="方正仿宋_GB2312"/>
          <w:sz w:val="30"/>
          <w:szCs w:val="30"/>
          <w:u w:val="single"/>
        </w:rPr>
        <w:t xml:space="preserve">     </w:t>
      </w:r>
      <w:r>
        <w:rPr>
          <w:rFonts w:hint="eastAsia" w:ascii="方正仿宋_GB2312" w:hAnsi="方正仿宋_GB2312" w:eastAsia="方正仿宋_GB2312" w:cs="方正仿宋_GB2312"/>
          <w:sz w:val="30"/>
          <w:szCs w:val="30"/>
        </w:rPr>
        <w:t>月</w:t>
      </w:r>
      <w:r>
        <w:rPr>
          <w:rFonts w:hint="eastAsia" w:ascii="方正仿宋_GB2312" w:hAnsi="方正仿宋_GB2312" w:eastAsia="方正仿宋_GB2312" w:cs="方正仿宋_GB2312"/>
          <w:sz w:val="30"/>
          <w:szCs w:val="30"/>
          <w:u w:val="single"/>
        </w:rPr>
        <w:t xml:space="preserve">     </w:t>
      </w:r>
      <w:r>
        <w:rPr>
          <w:rFonts w:hint="eastAsia" w:ascii="方正仿宋_GB2312" w:hAnsi="方正仿宋_GB2312" w:eastAsia="方正仿宋_GB2312" w:cs="方正仿宋_GB2312"/>
          <w:sz w:val="30"/>
          <w:szCs w:val="30"/>
        </w:rPr>
        <w:t>日</w:t>
      </w:r>
    </w:p>
    <w:p w14:paraId="6B7CC76F">
      <w:pPr>
        <w:spacing w:line="360" w:lineRule="auto"/>
        <w:rPr>
          <w:rFonts w:ascii="宋体" w:hAnsi="宋体"/>
          <w:color w:val="000000" w:themeColor="text1"/>
          <w:sz w:val="24"/>
          <w:szCs w:val="24"/>
          <w14:textFill>
            <w14:solidFill>
              <w14:schemeClr w14:val="tx1"/>
            </w14:solidFill>
          </w14:textFill>
        </w:rPr>
      </w:pPr>
    </w:p>
    <w:p w14:paraId="6CBF3D42">
      <w:pPr>
        <w:rPr>
          <w:rFonts w:ascii="宋体" w:hAnsi="宋体"/>
          <w:color w:val="000000" w:themeColor="text1"/>
          <w:sz w:val="24"/>
          <w:szCs w:val="24"/>
          <w14:textFill>
            <w14:solidFill>
              <w14:schemeClr w14:val="tx1"/>
            </w14:solidFill>
          </w14:textFill>
        </w:rPr>
      </w:pPr>
    </w:p>
    <w:p w14:paraId="27B219F2">
      <w:pPr>
        <w:numPr>
          <w:ilvl w:val="0"/>
          <w:numId w:val="0"/>
        </w:numPr>
        <w:ind w:left="0" w:leftChars="0" w:firstLine="480" w:firstLineChars="200"/>
        <w:rPr>
          <w:rFonts w:hint="default" w:ascii="Times New Roman" w:hAnsi="Times New Roman" w:eastAsia="方正仿宋_GBK" w:cs="Times New Roman"/>
          <w:bCs/>
          <w:color w:val="000000" w:themeColor="text1"/>
          <w:kern w:val="2"/>
          <w:sz w:val="24"/>
          <w:szCs w:val="24"/>
          <w:lang w:val="en-US" w:eastAsia="zh-CN" w:bidi="ar-SA"/>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w:t>
      </w:r>
      <w:r>
        <w:rPr>
          <w:rFonts w:hint="eastAsia" w:ascii="Times New Roman" w:hAnsi="Times New Roman" w:eastAsia="方正仿宋_GBK" w:cs="Times New Roman"/>
          <w:bCs/>
          <w:color w:val="000000" w:themeColor="text1"/>
          <w:kern w:val="2"/>
          <w:sz w:val="24"/>
          <w:szCs w:val="24"/>
          <w:lang w:val="en-US" w:eastAsia="zh-CN" w:bidi="ar-SA"/>
          <w14:textFill>
            <w14:solidFill>
              <w14:schemeClr w14:val="tx1"/>
            </w14:solidFill>
          </w14:textFill>
        </w:rPr>
        <w:t>注：须附法定代表人、委托代理人身份证正反面复印件</w:t>
      </w:r>
    </w:p>
    <w:p w14:paraId="33D9461F">
      <w:pPr>
        <w:rPr>
          <w:rFonts w:ascii="宋体" w:hAnsi="宋体"/>
          <w:color w:val="000000" w:themeColor="text1"/>
          <w:sz w:val="24"/>
          <w:szCs w:val="24"/>
          <w14:textFill>
            <w14:solidFill>
              <w14:schemeClr w14:val="tx1"/>
            </w14:solidFill>
          </w14:textFill>
        </w:rPr>
      </w:pPr>
    </w:p>
    <w:p w14:paraId="7F423417">
      <w:pPr>
        <w:widowControl/>
        <w:jc w:val="left"/>
        <w:rPr>
          <w:rFonts w:ascii="宋体" w:hAnsi="宋体"/>
          <w:color w:val="000000" w:themeColor="text1"/>
          <w:sz w:val="24"/>
          <w:szCs w:val="24"/>
          <w14:textFill>
            <w14:solidFill>
              <w14:schemeClr w14:val="tx1"/>
            </w14:solidFill>
          </w14:textFill>
        </w:rPr>
      </w:pPr>
      <w:bookmarkStart w:id="1" w:name="_GoBack"/>
      <w:bookmarkEnd w:id="1"/>
      <w:r>
        <w:rPr>
          <w:rFonts w:ascii="宋体" w:hAnsi="宋体"/>
          <w:color w:val="000000" w:themeColor="text1"/>
          <w:sz w:val="24"/>
          <w:szCs w:val="24"/>
          <w14:textFill>
            <w14:solidFill>
              <w14:schemeClr w14:val="tx1"/>
            </w14:solidFill>
          </w14:textFill>
        </w:rPr>
        <w:br w:type="page"/>
      </w:r>
    </w:p>
    <w:p w14:paraId="5D6B94F3">
      <w:pPr>
        <w:numPr>
          <w:ilvl w:val="0"/>
          <w:numId w:val="0"/>
        </w:numPr>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pPr>
      <w:r>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t>附件2</w:t>
      </w:r>
    </w:p>
    <w:p w14:paraId="5D914A1E">
      <w:pPr>
        <w:numPr>
          <w:ilvl w:val="0"/>
          <w:numId w:val="0"/>
        </w:numPr>
        <w:jc w:val="center"/>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pPr>
      <w:bookmarkStart w:id="0" w:name="_Toc531620321"/>
      <w:r>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t>报价函</w:t>
      </w:r>
    </w:p>
    <w:p w14:paraId="675168DB">
      <w:pPr>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hint="default" w:ascii="Times New Roman" w:hAnsi="Times New Roman" w:eastAsia="方正仿宋_GBK" w:cs="Times New Roman"/>
          <w:b/>
          <w:color w:val="000000" w:themeColor="text1"/>
          <w:sz w:val="30"/>
          <w:szCs w:val="30"/>
          <w14:textFill>
            <w14:solidFill>
              <w14:schemeClr w14:val="tx1"/>
            </w14:solidFill>
          </w14:textFill>
        </w:rPr>
      </w:pPr>
    </w:p>
    <w:p w14:paraId="2A6EA843">
      <w:pPr>
        <w:numPr>
          <w:ilvl w:val="0"/>
          <w:numId w:val="0"/>
        </w:numPr>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pPr>
      <w:r>
        <w:rPr>
          <w:rFonts w:hint="default"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t>都江堰市规划和自然资源局</w:t>
      </w:r>
      <w:r>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t>：</w:t>
      </w:r>
    </w:p>
    <w:p w14:paraId="4989FE69">
      <w:pPr>
        <w:numPr>
          <w:ilvl w:val="0"/>
          <w:numId w:val="0"/>
        </w:numPr>
        <w:ind w:left="0" w:leftChars="0" w:firstLine="600" w:firstLineChars="200"/>
        <w:rPr>
          <w:rFonts w:hint="default" w:ascii="方正仿宋_GB2312" w:hAnsi="方正仿宋_GB2312" w:eastAsia="方正仿宋_GB2312" w:cs="方正仿宋_GB2312"/>
          <w:color w:val="000000"/>
          <w:sz w:val="30"/>
          <w:szCs w:val="30"/>
          <w:u w:val="single"/>
          <w:lang w:val="en-US" w:eastAsia="zh-CN"/>
        </w:rPr>
      </w:pPr>
      <w:r>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t>经认真研读</w:t>
      </w:r>
      <w:r>
        <w:rPr>
          <w:rFonts w:hint="default" w:ascii="Times New Roman" w:hAnsi="Times New Roman" w:eastAsia="方正仿宋_GBK" w:cs="Times New Roman"/>
          <w:sz w:val="30"/>
          <w:szCs w:val="30"/>
          <w:lang w:val="en-US" w:eastAsia="zh-CN"/>
        </w:rPr>
        <w:t>都江堰市地质灾害群测群防应急通信终端采购项目招标代理服务</w:t>
      </w:r>
      <w:r>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t>比选有关文件的要求后，</w:t>
      </w:r>
      <w:r>
        <w:rPr>
          <w:rFonts w:hint="eastAsia" w:ascii="方正仿宋_GB2312" w:hAnsi="方正仿宋_GB2312" w:eastAsia="方正仿宋_GB2312" w:cs="方正仿宋_GB2312"/>
          <w:color w:val="000000"/>
          <w:sz w:val="30"/>
          <w:szCs w:val="30"/>
          <w:u w:val="none"/>
          <w:lang w:val="en-US" w:eastAsia="zh-CN"/>
        </w:rPr>
        <w:t>根据成本加合理利润原则，本项目代理服务费用我公司报价为人民币</w:t>
      </w:r>
      <w:r>
        <w:rPr>
          <w:rFonts w:hint="eastAsia" w:ascii="方正仿宋_GB2312" w:hAnsi="方正仿宋_GB2312" w:eastAsia="方正仿宋_GB2312" w:cs="方正仿宋_GB2312"/>
          <w:color w:val="000000"/>
          <w:sz w:val="30"/>
          <w:szCs w:val="30"/>
          <w:u w:val="single"/>
          <w:lang w:val="en-US" w:eastAsia="zh-CN"/>
        </w:rPr>
        <w:t xml:space="preserve">          </w:t>
      </w:r>
      <w:r>
        <w:rPr>
          <w:rFonts w:hint="eastAsia" w:ascii="方正仿宋_GB2312" w:hAnsi="方正仿宋_GB2312" w:eastAsia="方正仿宋_GB2312" w:cs="方正仿宋_GB2312"/>
          <w:color w:val="000000"/>
          <w:sz w:val="30"/>
          <w:szCs w:val="30"/>
          <w:u w:val="none"/>
          <w:lang w:val="en-US" w:eastAsia="zh-CN"/>
        </w:rPr>
        <w:t>元（大写：</w:t>
      </w:r>
      <w:r>
        <w:rPr>
          <w:rFonts w:hint="eastAsia" w:ascii="方正仿宋_GB2312" w:hAnsi="方正仿宋_GB2312" w:eastAsia="方正仿宋_GB2312" w:cs="方正仿宋_GB2312"/>
          <w:color w:val="000000"/>
          <w:sz w:val="30"/>
          <w:szCs w:val="30"/>
          <w:u w:val="single"/>
          <w:lang w:val="en-US" w:eastAsia="zh-CN"/>
        </w:rPr>
        <w:t xml:space="preserve">           </w:t>
      </w:r>
      <w:r>
        <w:rPr>
          <w:rFonts w:hint="eastAsia" w:ascii="方正仿宋_GB2312" w:hAnsi="方正仿宋_GB2312" w:eastAsia="方正仿宋_GB2312" w:cs="方正仿宋_GB2312"/>
          <w:color w:val="000000"/>
          <w:sz w:val="30"/>
          <w:szCs w:val="30"/>
          <w:u w:val="none"/>
          <w:lang w:val="en-US" w:eastAsia="zh-CN"/>
        </w:rPr>
        <w:t>）。</w:t>
      </w:r>
    </w:p>
    <w:p w14:paraId="192F5243">
      <w:pPr>
        <w:pStyle w:val="67"/>
        <w:rPr>
          <w:rFonts w:hint="eastAsia"/>
          <w:lang w:val="en-US" w:eastAsia="zh-CN"/>
        </w:rPr>
      </w:pPr>
    </w:p>
    <w:p w14:paraId="07D68D5A">
      <w:pPr>
        <w:pStyle w:val="68"/>
        <w:rPr>
          <w:rFonts w:hint="eastAsia" w:ascii="方正仿宋_GB2312" w:hAnsi="方正仿宋_GB2312" w:eastAsia="方正仿宋_GB2312" w:cs="方正仿宋_GB2312"/>
          <w:color w:val="000000"/>
          <w:sz w:val="32"/>
          <w:szCs w:val="32"/>
          <w:u w:val="none"/>
          <w:lang w:val="en-US" w:eastAsia="zh-CN"/>
        </w:rPr>
      </w:pPr>
    </w:p>
    <w:p w14:paraId="46F4242F">
      <w:pPr>
        <w:pStyle w:val="68"/>
        <w:rPr>
          <w:rFonts w:hint="eastAsia" w:ascii="方正仿宋_GB2312" w:hAnsi="方正仿宋_GB2312" w:eastAsia="方正仿宋_GB2312" w:cs="方正仿宋_GB2312"/>
          <w:color w:val="000000"/>
          <w:sz w:val="32"/>
          <w:szCs w:val="32"/>
          <w:u w:val="none"/>
          <w:lang w:val="en-US" w:eastAsia="zh-CN"/>
        </w:rPr>
      </w:pPr>
    </w:p>
    <w:p w14:paraId="75D27488">
      <w:pPr>
        <w:numPr>
          <w:ilvl w:val="0"/>
          <w:numId w:val="0"/>
        </w:numPr>
        <w:ind w:left="0" w:leftChars="0" w:firstLine="600" w:firstLineChars="200"/>
        <w:jc w:val="right"/>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pPr>
      <w:r>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t>比选申请人：</w:t>
      </w:r>
      <w:r>
        <w:rPr>
          <w:rFonts w:hint="eastAsia" w:ascii="Times New Roman" w:hAnsi="Times New Roman" w:eastAsia="方正仿宋_GBK" w:cs="Times New Roman"/>
          <w:bCs/>
          <w:color w:val="000000" w:themeColor="text1"/>
          <w:kern w:val="2"/>
          <w:sz w:val="30"/>
          <w:szCs w:val="30"/>
          <w:u w:val="single"/>
          <w:lang w:val="en-US" w:eastAsia="zh-CN" w:bidi="ar-SA"/>
          <w14:textFill>
            <w14:solidFill>
              <w14:schemeClr w14:val="tx1"/>
            </w14:solidFill>
          </w14:textFill>
        </w:rPr>
        <w:t xml:space="preserve"> （全称并加盖单位章） </w:t>
      </w:r>
    </w:p>
    <w:p w14:paraId="73265DD2">
      <w:pPr>
        <w:numPr>
          <w:ilvl w:val="0"/>
          <w:numId w:val="0"/>
        </w:numPr>
        <w:ind w:left="0" w:leftChars="0" w:firstLine="600" w:firstLineChars="200"/>
        <w:jc w:val="center"/>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pPr>
      <w:r>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t xml:space="preserve">      授权人或委托代理人签字：</w:t>
      </w:r>
      <w:r>
        <w:rPr>
          <w:rFonts w:hint="eastAsia" w:ascii="Times New Roman" w:hAnsi="Times New Roman" w:eastAsia="方正仿宋_GBK" w:cs="Times New Roman"/>
          <w:bCs/>
          <w:color w:val="000000" w:themeColor="text1"/>
          <w:kern w:val="2"/>
          <w:sz w:val="30"/>
          <w:szCs w:val="30"/>
          <w:u w:val="single"/>
          <w:lang w:val="en-US" w:eastAsia="zh-CN" w:bidi="ar-SA"/>
          <w14:textFill>
            <w14:solidFill>
              <w14:schemeClr w14:val="tx1"/>
            </w14:solidFill>
          </w14:textFill>
        </w:rPr>
        <w:t xml:space="preserve">         </w:t>
      </w:r>
    </w:p>
    <w:p w14:paraId="6B5928F0">
      <w:pPr>
        <w:ind w:firstLine="795"/>
        <w:jc w:val="right"/>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日期：</w:t>
      </w:r>
      <w:r>
        <w:rPr>
          <w:rFonts w:hint="eastAsia" w:ascii="方正仿宋_GB2312" w:hAnsi="方正仿宋_GB2312" w:eastAsia="方正仿宋_GB2312" w:cs="方正仿宋_GB2312"/>
          <w:sz w:val="30"/>
          <w:szCs w:val="30"/>
          <w:u w:val="single"/>
        </w:rPr>
        <w:t xml:space="preserve">        </w:t>
      </w:r>
      <w:r>
        <w:rPr>
          <w:rFonts w:hint="eastAsia" w:ascii="方正仿宋_GB2312" w:hAnsi="方正仿宋_GB2312" w:eastAsia="方正仿宋_GB2312" w:cs="方正仿宋_GB2312"/>
          <w:sz w:val="30"/>
          <w:szCs w:val="30"/>
        </w:rPr>
        <w:t>年</w:t>
      </w:r>
      <w:r>
        <w:rPr>
          <w:rFonts w:hint="eastAsia" w:ascii="方正仿宋_GB2312" w:hAnsi="方正仿宋_GB2312" w:eastAsia="方正仿宋_GB2312" w:cs="方正仿宋_GB2312"/>
          <w:sz w:val="30"/>
          <w:szCs w:val="30"/>
          <w:u w:val="single"/>
        </w:rPr>
        <w:t xml:space="preserve">     </w:t>
      </w:r>
      <w:r>
        <w:rPr>
          <w:rFonts w:hint="eastAsia" w:ascii="方正仿宋_GB2312" w:hAnsi="方正仿宋_GB2312" w:eastAsia="方正仿宋_GB2312" w:cs="方正仿宋_GB2312"/>
          <w:sz w:val="30"/>
          <w:szCs w:val="30"/>
        </w:rPr>
        <w:t>月</w:t>
      </w:r>
      <w:r>
        <w:rPr>
          <w:rFonts w:hint="eastAsia" w:ascii="方正仿宋_GB2312" w:hAnsi="方正仿宋_GB2312" w:eastAsia="方正仿宋_GB2312" w:cs="方正仿宋_GB2312"/>
          <w:sz w:val="30"/>
          <w:szCs w:val="30"/>
          <w:u w:val="single"/>
        </w:rPr>
        <w:t xml:space="preserve">     </w:t>
      </w:r>
      <w:r>
        <w:rPr>
          <w:rFonts w:hint="eastAsia" w:ascii="方正仿宋_GB2312" w:hAnsi="方正仿宋_GB2312" w:eastAsia="方正仿宋_GB2312" w:cs="方正仿宋_GB2312"/>
          <w:sz w:val="30"/>
          <w:szCs w:val="30"/>
        </w:rPr>
        <w:t>日</w:t>
      </w:r>
    </w:p>
    <w:p w14:paraId="29EC03C3">
      <w:pPr>
        <w:numPr>
          <w:ilvl w:val="0"/>
          <w:numId w:val="0"/>
        </w:numPr>
        <w:ind w:left="0" w:leftChars="0" w:firstLine="600" w:firstLineChars="200"/>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pPr>
    </w:p>
    <w:bookmarkEnd w:id="0"/>
    <w:p w14:paraId="7432D532">
      <w:pPr>
        <w:numPr>
          <w:ilvl w:val="0"/>
          <w:numId w:val="0"/>
        </w:numPr>
        <w:ind w:left="0" w:leftChars="0" w:firstLine="600" w:firstLineChars="200"/>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pPr>
      <w:r>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br w:type="page"/>
      </w:r>
    </w:p>
    <w:p w14:paraId="210913F8">
      <w:pPr>
        <w:numPr>
          <w:ilvl w:val="0"/>
          <w:numId w:val="0"/>
        </w:numPr>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pPr>
      <w:r>
        <w:rPr>
          <w:rFonts w:hint="eastAsia" w:ascii="Times New Roman" w:hAnsi="Times New Roman" w:eastAsia="方正仿宋_GBK" w:cs="Times New Roman"/>
          <w:bCs/>
          <w:color w:val="000000" w:themeColor="text1"/>
          <w:kern w:val="2"/>
          <w:sz w:val="30"/>
          <w:szCs w:val="30"/>
          <w:lang w:val="en-US" w:eastAsia="zh-CN" w:bidi="ar-SA"/>
          <w14:textFill>
            <w14:solidFill>
              <w14:schemeClr w14:val="tx1"/>
            </w14:solidFill>
          </w14:textFill>
        </w:rPr>
        <w:t>附件3</w:t>
      </w:r>
    </w:p>
    <w:p w14:paraId="2B718D62">
      <w:pPr>
        <w:spacing w:line="360" w:lineRule="auto"/>
        <w:jc w:val="center"/>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评分标准</w:t>
      </w:r>
    </w:p>
    <w:tbl>
      <w:tblPr>
        <w:tblStyle w:val="12"/>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0DDEF"/>
        <w:tblLayout w:type="fixed"/>
        <w:tblCellMar>
          <w:top w:w="0" w:type="dxa"/>
          <w:left w:w="10" w:type="dxa"/>
          <w:bottom w:w="0" w:type="dxa"/>
          <w:right w:w="10" w:type="dxa"/>
        </w:tblCellMar>
      </w:tblPr>
      <w:tblGrid>
        <w:gridCol w:w="423"/>
        <w:gridCol w:w="1211"/>
        <w:gridCol w:w="1063"/>
        <w:gridCol w:w="6260"/>
      </w:tblGrid>
      <w:tr w14:paraId="4F33D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0DDEF"/>
          <w:tblCellMar>
            <w:top w:w="0" w:type="dxa"/>
            <w:left w:w="10" w:type="dxa"/>
            <w:bottom w:w="0" w:type="dxa"/>
            <w:right w:w="10" w:type="dxa"/>
          </w:tblCellMar>
        </w:tblPrEx>
        <w:trPr>
          <w:trHeight w:val="336" w:hRule="atLeast"/>
          <w:jc w:val="center"/>
        </w:trPr>
        <w:tc>
          <w:tcPr>
            <w:tcW w:w="423" w:type="dxa"/>
            <w:shd w:val="clear" w:color="auto" w:fill="auto"/>
            <w:noWrap w:val="0"/>
            <w:tcMar>
              <w:top w:w="80" w:type="dxa"/>
              <w:left w:w="80" w:type="dxa"/>
              <w:bottom w:w="80" w:type="dxa"/>
              <w:right w:w="80" w:type="dxa"/>
            </w:tcMar>
            <w:vAlign w:val="center"/>
          </w:tcPr>
          <w:p w14:paraId="1F9434C3">
            <w:pPr>
              <w:kinsoku w:val="0"/>
              <w:topLinePunct/>
              <w:jc w:val="center"/>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lang w:val="zh-TW" w:eastAsia="zh-TW"/>
              </w:rPr>
              <w:t>序号</w:t>
            </w:r>
          </w:p>
        </w:tc>
        <w:tc>
          <w:tcPr>
            <w:tcW w:w="1211" w:type="dxa"/>
            <w:shd w:val="clear" w:color="auto" w:fill="auto"/>
            <w:noWrap w:val="0"/>
            <w:tcMar>
              <w:top w:w="80" w:type="dxa"/>
              <w:left w:w="80" w:type="dxa"/>
              <w:bottom w:w="80" w:type="dxa"/>
              <w:right w:w="80" w:type="dxa"/>
            </w:tcMar>
            <w:vAlign w:val="center"/>
          </w:tcPr>
          <w:p w14:paraId="55A0F5CB">
            <w:pPr>
              <w:kinsoku w:val="0"/>
              <w:topLinePunct/>
              <w:ind w:firstLine="2"/>
              <w:jc w:val="center"/>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lang w:val="zh-TW" w:eastAsia="zh-TW"/>
              </w:rPr>
              <w:t>评审项目</w:t>
            </w:r>
          </w:p>
        </w:tc>
        <w:tc>
          <w:tcPr>
            <w:tcW w:w="1063" w:type="dxa"/>
            <w:shd w:val="clear" w:color="auto" w:fill="auto"/>
            <w:noWrap w:val="0"/>
            <w:tcMar>
              <w:top w:w="80" w:type="dxa"/>
              <w:left w:w="80" w:type="dxa"/>
              <w:bottom w:w="80" w:type="dxa"/>
              <w:right w:w="80" w:type="dxa"/>
            </w:tcMar>
            <w:vAlign w:val="center"/>
          </w:tcPr>
          <w:p w14:paraId="4C34A9C9">
            <w:pPr>
              <w:kinsoku w:val="0"/>
              <w:topLinePunct/>
              <w:jc w:val="center"/>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lang w:val="zh-TW"/>
              </w:rPr>
              <w:t>评审因素</w:t>
            </w:r>
          </w:p>
        </w:tc>
        <w:tc>
          <w:tcPr>
            <w:tcW w:w="6260" w:type="dxa"/>
            <w:shd w:val="clear" w:color="auto" w:fill="auto"/>
            <w:noWrap w:val="0"/>
            <w:tcMar>
              <w:top w:w="80" w:type="dxa"/>
              <w:left w:w="80" w:type="dxa"/>
              <w:bottom w:w="80" w:type="dxa"/>
              <w:right w:w="80" w:type="dxa"/>
            </w:tcMar>
            <w:vAlign w:val="center"/>
          </w:tcPr>
          <w:p w14:paraId="4A86FA5F">
            <w:pPr>
              <w:kinsoku w:val="0"/>
              <w:topLinePunct/>
              <w:jc w:val="center"/>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lang w:val="zh-TW" w:eastAsia="zh-TW"/>
              </w:rPr>
              <w:t>评分标准</w:t>
            </w:r>
          </w:p>
        </w:tc>
      </w:tr>
      <w:tr w14:paraId="4930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0DDEF"/>
          <w:tblCellMar>
            <w:top w:w="0" w:type="dxa"/>
            <w:left w:w="10" w:type="dxa"/>
            <w:bottom w:w="0" w:type="dxa"/>
            <w:right w:w="10" w:type="dxa"/>
          </w:tblCellMar>
        </w:tblPrEx>
        <w:trPr>
          <w:trHeight w:val="1028" w:hRule="atLeast"/>
          <w:jc w:val="center"/>
        </w:trPr>
        <w:tc>
          <w:tcPr>
            <w:tcW w:w="423" w:type="dxa"/>
            <w:shd w:val="clear" w:color="auto" w:fill="auto"/>
            <w:noWrap w:val="0"/>
            <w:tcMar>
              <w:top w:w="80" w:type="dxa"/>
              <w:left w:w="80" w:type="dxa"/>
              <w:bottom w:w="80" w:type="dxa"/>
              <w:right w:w="80" w:type="dxa"/>
            </w:tcMar>
            <w:vAlign w:val="center"/>
          </w:tcPr>
          <w:p w14:paraId="33C0D9FB">
            <w:pPr>
              <w:kinsoku w:val="0"/>
              <w:topLinePunct/>
              <w:jc w:val="center"/>
              <w:rPr>
                <w:rFonts w:hint="eastAsia" w:ascii="方正仿宋_GBK" w:hAnsi="方正仿宋_GBK" w:eastAsia="方正仿宋_GBK" w:cs="方正仿宋_GBK"/>
                <w:color w:val="auto"/>
                <w:lang w:val="zh-TW" w:eastAsia="zh-TW"/>
              </w:rPr>
            </w:pPr>
            <w:r>
              <w:rPr>
                <w:rFonts w:hint="eastAsia" w:ascii="方正仿宋_GBK" w:hAnsi="方正仿宋_GBK" w:eastAsia="方正仿宋_GBK" w:cs="方正仿宋_GBK"/>
                <w:color w:val="auto"/>
                <w:lang w:val="en-US" w:eastAsia="zh-CN"/>
              </w:rPr>
              <w:t>1</w:t>
            </w:r>
          </w:p>
        </w:tc>
        <w:tc>
          <w:tcPr>
            <w:tcW w:w="1211" w:type="dxa"/>
            <w:shd w:val="clear" w:color="auto" w:fill="auto"/>
            <w:noWrap w:val="0"/>
            <w:tcMar>
              <w:top w:w="80" w:type="dxa"/>
              <w:left w:w="80" w:type="dxa"/>
              <w:bottom w:w="80" w:type="dxa"/>
              <w:right w:w="80" w:type="dxa"/>
            </w:tcMar>
            <w:vAlign w:val="center"/>
          </w:tcPr>
          <w:p w14:paraId="7DBBE744">
            <w:pPr>
              <w:kinsoku w:val="0"/>
              <w:topLinePunct/>
              <w:ind w:firstLine="2"/>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招标代理服务报价</w:t>
            </w:r>
          </w:p>
          <w:p w14:paraId="36B93CAF">
            <w:pPr>
              <w:kinsoku w:val="0"/>
              <w:topLinePunct/>
              <w:ind w:firstLine="2" w:firstLineChars="0"/>
              <w:jc w:val="center"/>
              <w:rPr>
                <w:rFonts w:hint="eastAsia" w:ascii="方正仿宋_GBK" w:hAnsi="方正仿宋_GBK" w:eastAsia="方正仿宋_GBK" w:cs="方正仿宋_GBK"/>
                <w:color w:val="auto"/>
                <w:lang w:val="zh-TW" w:eastAsia="zh-TW"/>
              </w:rPr>
            </w:pPr>
            <w:r>
              <w:rPr>
                <w:rFonts w:hint="eastAsia" w:ascii="方正仿宋_GBK" w:hAnsi="方正仿宋_GBK" w:eastAsia="方正仿宋_GBK" w:cs="方正仿宋_GBK"/>
                <w:color w:val="auto"/>
                <w:sz w:val="21"/>
                <w:szCs w:val="21"/>
              </w:rPr>
              <w:t>（</w:t>
            </w:r>
            <w:r>
              <w:rPr>
                <w:rFonts w:hint="eastAsia" w:ascii="方正仿宋_GBK" w:hAnsi="方正仿宋_GBK" w:eastAsia="方正仿宋_GBK" w:cs="方正仿宋_GBK"/>
                <w:color w:val="auto"/>
                <w:sz w:val="21"/>
                <w:szCs w:val="21"/>
                <w:lang w:val="en-US" w:eastAsia="zh-CN"/>
              </w:rPr>
              <w:t>10</w:t>
            </w:r>
            <w:r>
              <w:rPr>
                <w:rFonts w:hint="eastAsia" w:ascii="方正仿宋_GBK" w:hAnsi="方正仿宋_GBK" w:eastAsia="方正仿宋_GBK" w:cs="方正仿宋_GBK"/>
                <w:color w:val="auto"/>
                <w:sz w:val="21"/>
                <w:szCs w:val="21"/>
              </w:rPr>
              <w:t>分）</w:t>
            </w:r>
          </w:p>
        </w:tc>
        <w:tc>
          <w:tcPr>
            <w:tcW w:w="1063" w:type="dxa"/>
            <w:shd w:val="clear" w:color="auto" w:fill="auto"/>
            <w:noWrap w:val="0"/>
            <w:tcMar>
              <w:top w:w="80" w:type="dxa"/>
              <w:left w:w="80" w:type="dxa"/>
              <w:bottom w:w="80" w:type="dxa"/>
              <w:right w:w="80" w:type="dxa"/>
            </w:tcMar>
            <w:vAlign w:val="center"/>
          </w:tcPr>
          <w:p w14:paraId="0950CBA5">
            <w:pPr>
              <w:kinsoku w:val="0"/>
              <w:topLinePunct/>
              <w:jc w:val="center"/>
              <w:rPr>
                <w:rFonts w:hint="eastAsia" w:ascii="方正仿宋_GBK" w:hAnsi="方正仿宋_GBK" w:eastAsia="方正仿宋_GBK" w:cs="方正仿宋_GBK"/>
                <w:color w:val="auto"/>
                <w:lang w:val="zh-TW"/>
              </w:rPr>
            </w:pPr>
            <w:r>
              <w:rPr>
                <w:rFonts w:hint="eastAsia" w:ascii="方正仿宋_GBK" w:hAnsi="方正仿宋_GBK" w:eastAsia="方正仿宋_GBK" w:cs="方正仿宋_GBK"/>
                <w:color w:val="auto"/>
                <w:sz w:val="21"/>
                <w:szCs w:val="21"/>
                <w:lang w:val="en-US" w:eastAsia="zh-CN"/>
              </w:rPr>
              <w:t>服务</w:t>
            </w:r>
            <w:r>
              <w:rPr>
                <w:rFonts w:hint="eastAsia" w:ascii="方正仿宋_GBK" w:hAnsi="方正仿宋_GBK" w:eastAsia="方正仿宋_GBK" w:cs="方正仿宋_GBK"/>
                <w:color w:val="auto"/>
                <w:sz w:val="21"/>
                <w:szCs w:val="21"/>
              </w:rPr>
              <w:t>报价</w:t>
            </w:r>
          </w:p>
        </w:tc>
        <w:tc>
          <w:tcPr>
            <w:tcW w:w="6260" w:type="dxa"/>
            <w:shd w:val="clear" w:color="auto" w:fill="auto"/>
            <w:noWrap w:val="0"/>
            <w:tcMar>
              <w:top w:w="80" w:type="dxa"/>
              <w:left w:w="80" w:type="dxa"/>
              <w:bottom w:w="80" w:type="dxa"/>
              <w:right w:w="80" w:type="dxa"/>
            </w:tcMar>
            <w:vAlign w:val="center"/>
          </w:tcPr>
          <w:p w14:paraId="641A9B9E">
            <w:pPr>
              <w:pageBreakBefore w:val="0"/>
              <w:widowControl w:val="0"/>
              <w:numPr>
                <w:ilvl w:val="0"/>
                <w:numId w:val="0"/>
              </w:numPr>
              <w:wordWrap/>
              <w:overflowPunct/>
              <w:autoSpaceDE/>
              <w:autoSpaceDN/>
              <w:bidi w:val="0"/>
              <w:adjustRightInd/>
              <w:spacing w:before="31" w:beforeLines="10" w:after="31" w:afterLines="10" w:line="240" w:lineRule="auto"/>
              <w:ind w:right="231" w:rightChars="0" w:firstLine="28" w:firstLineChars="0"/>
              <w:jc w:val="left"/>
              <w:textAlignment w:val="auto"/>
              <w:rPr>
                <w:rFonts w:hint="eastAsia" w:ascii="方正仿宋_GBK" w:hAnsi="方正仿宋_GBK" w:eastAsia="方正仿宋_GBK" w:cs="方正仿宋_GBK"/>
                <w:color w:val="auto"/>
                <w:lang w:val="zh-TW" w:eastAsia="zh-TW"/>
              </w:rPr>
            </w:pPr>
            <w:r>
              <w:rPr>
                <w:rFonts w:hint="eastAsia" w:ascii="方正仿宋_GBK" w:hAnsi="方正仿宋_GBK" w:eastAsia="方正仿宋_GBK" w:cs="方正仿宋_GBK"/>
                <w:b w:val="0"/>
                <w:bCs w:val="0"/>
                <w:color w:val="auto"/>
                <w:sz w:val="21"/>
                <w:szCs w:val="21"/>
                <w:lang w:val="en-US" w:eastAsia="zh-CN"/>
              </w:rPr>
              <w:t xml:space="preserve">以本次有效的最低报价为基准价，其余报价得分=（基准价／比选申请人报价）×分值。                        </w:t>
            </w:r>
          </w:p>
        </w:tc>
      </w:tr>
      <w:tr w14:paraId="258B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73" w:hRule="atLeast"/>
          <w:jc w:val="center"/>
        </w:trPr>
        <w:tc>
          <w:tcPr>
            <w:tcW w:w="423" w:type="dxa"/>
            <w:shd w:val="clear" w:color="auto" w:fill="auto"/>
            <w:noWrap w:val="0"/>
            <w:tcMar>
              <w:top w:w="80" w:type="dxa"/>
              <w:left w:w="80" w:type="dxa"/>
              <w:bottom w:w="80" w:type="dxa"/>
              <w:right w:w="80" w:type="dxa"/>
            </w:tcMar>
            <w:vAlign w:val="center"/>
          </w:tcPr>
          <w:p w14:paraId="274CF04C">
            <w:pPr>
              <w:kinsoku w:val="0"/>
              <w:topLinePun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val="en-US" w:eastAsia="zh-CN"/>
              </w:rPr>
              <w:t>2</w:t>
            </w:r>
          </w:p>
        </w:tc>
        <w:tc>
          <w:tcPr>
            <w:tcW w:w="1211" w:type="dxa"/>
            <w:shd w:val="clear" w:color="auto" w:fill="auto"/>
            <w:noWrap w:val="0"/>
            <w:tcMar>
              <w:top w:w="80" w:type="dxa"/>
              <w:left w:w="80" w:type="dxa"/>
              <w:bottom w:w="80" w:type="dxa"/>
              <w:right w:w="80" w:type="dxa"/>
            </w:tcMar>
            <w:vAlign w:val="center"/>
          </w:tcPr>
          <w:p w14:paraId="54EEDA4A">
            <w:pPr>
              <w:kinsoku w:val="0"/>
              <w:topLinePunct/>
              <w:ind w:firstLine="2"/>
              <w:jc w:val="center"/>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rPr>
              <w:t>招标代理实施方案</w:t>
            </w:r>
          </w:p>
          <w:p w14:paraId="297BB219">
            <w:pPr>
              <w:kinsoku w:val="0"/>
              <w:topLinePunct/>
              <w:ind w:firstLine="2"/>
              <w:jc w:val="center"/>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rPr>
              <w:t>（</w:t>
            </w:r>
            <w:r>
              <w:rPr>
                <w:rFonts w:hint="eastAsia" w:ascii="方正仿宋_GBK" w:hAnsi="方正仿宋_GBK" w:eastAsia="方正仿宋_GBK" w:cs="方正仿宋_GBK"/>
                <w:color w:val="auto"/>
                <w:lang w:val="en-US" w:eastAsia="zh-CN"/>
              </w:rPr>
              <w:t>4</w:t>
            </w:r>
            <w:r>
              <w:rPr>
                <w:rFonts w:hint="eastAsia" w:ascii="方正仿宋_GBK" w:hAnsi="方正仿宋_GBK" w:eastAsia="方正仿宋_GBK" w:cs="方正仿宋_GBK"/>
                <w:color w:val="auto"/>
              </w:rPr>
              <w:t>0分）</w:t>
            </w:r>
          </w:p>
        </w:tc>
        <w:tc>
          <w:tcPr>
            <w:tcW w:w="1063" w:type="dxa"/>
            <w:shd w:val="clear" w:color="auto" w:fill="auto"/>
            <w:noWrap w:val="0"/>
            <w:tcMar>
              <w:top w:w="80" w:type="dxa"/>
              <w:left w:w="80" w:type="dxa"/>
              <w:bottom w:w="80" w:type="dxa"/>
              <w:right w:w="80" w:type="dxa"/>
            </w:tcMar>
            <w:vAlign w:val="center"/>
          </w:tcPr>
          <w:p w14:paraId="0341899F">
            <w:pPr>
              <w:kinsoku w:val="0"/>
              <w:topLinePunct/>
              <w:jc w:val="left"/>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rPr>
              <w:t>代理服务方案内容完整性和编制水平</w:t>
            </w:r>
          </w:p>
        </w:tc>
        <w:tc>
          <w:tcPr>
            <w:tcW w:w="6260" w:type="dxa"/>
            <w:shd w:val="clear" w:color="auto" w:fill="auto"/>
            <w:noWrap w:val="0"/>
            <w:tcMar>
              <w:top w:w="80" w:type="dxa"/>
              <w:left w:w="80" w:type="dxa"/>
              <w:bottom w:w="80" w:type="dxa"/>
              <w:right w:w="80" w:type="dxa"/>
            </w:tcMar>
            <w:vAlign w:val="center"/>
          </w:tcPr>
          <w:p w14:paraId="42A1CAD1">
            <w:pPr>
              <w:pageBreakBefore w:val="0"/>
              <w:widowControl w:val="0"/>
              <w:kinsoku w:val="0"/>
              <w:wordWrap/>
              <w:overflowPunct/>
              <w:topLinePunct/>
              <w:autoSpaceDE/>
              <w:autoSpaceDN/>
              <w:bidi w:val="0"/>
              <w:adjustRightInd/>
              <w:snapToGrid w:val="0"/>
              <w:spacing w:line="240" w:lineRule="auto"/>
              <w:textAlignment w:val="auto"/>
              <w:rPr>
                <w:rFonts w:hint="eastAsia" w:ascii="方正仿宋_GBK" w:hAnsi="方正仿宋_GBK" w:eastAsia="方正仿宋_GBK" w:cs="方正仿宋_GBK"/>
                <w:color w:val="auto"/>
                <w:lang w:val="zh-TW"/>
              </w:rPr>
            </w:pPr>
            <w:r>
              <w:rPr>
                <w:rFonts w:hint="eastAsia" w:ascii="方正仿宋_GBK" w:hAnsi="方正仿宋_GBK" w:eastAsia="方正仿宋_GBK" w:cs="方正仿宋_GBK"/>
                <w:color w:val="auto"/>
                <w:lang w:val="en-US" w:eastAsia="zh-CN"/>
              </w:rPr>
              <w:t>招标代理服务方案应至少包括：1.招标代理工作</w:t>
            </w:r>
            <w:r>
              <w:rPr>
                <w:rFonts w:hint="eastAsia" w:ascii="方正仿宋_GBK" w:hAnsi="方正仿宋_GBK" w:eastAsia="方正仿宋_GBK" w:cs="方正仿宋_GBK"/>
                <w:color w:val="auto"/>
                <w:lang w:val="zh-TW"/>
              </w:rPr>
              <w:t>流程；</w:t>
            </w:r>
            <w:r>
              <w:rPr>
                <w:rFonts w:hint="eastAsia" w:ascii="方正仿宋_GBK" w:hAnsi="方正仿宋_GBK" w:eastAsia="方正仿宋_GBK" w:cs="方正仿宋_GBK"/>
                <w:color w:val="auto"/>
                <w:lang w:val="en-US" w:eastAsia="zh-CN"/>
              </w:rPr>
              <w:t>2.招标代理工作质量保障措施</w:t>
            </w:r>
            <w:r>
              <w:rPr>
                <w:rFonts w:hint="eastAsia" w:ascii="方正仿宋_GBK" w:hAnsi="方正仿宋_GBK" w:eastAsia="方正仿宋_GBK" w:cs="方正仿宋_GBK"/>
                <w:color w:val="auto"/>
                <w:lang w:val="zh-TW"/>
              </w:rPr>
              <w:t>；</w:t>
            </w:r>
            <w:r>
              <w:rPr>
                <w:rFonts w:hint="eastAsia" w:ascii="方正仿宋_GBK" w:hAnsi="方正仿宋_GBK" w:eastAsia="方正仿宋_GBK" w:cs="方正仿宋_GBK"/>
                <w:color w:val="auto"/>
                <w:lang w:val="en-US" w:eastAsia="zh-CN"/>
              </w:rPr>
              <w:t>3.</w:t>
            </w:r>
            <w:r>
              <w:rPr>
                <w:rFonts w:hint="eastAsia" w:ascii="方正仿宋_GBK" w:hAnsi="方正仿宋_GBK" w:eastAsia="方正仿宋_GBK" w:cs="方正仿宋_GBK"/>
                <w:color w:val="auto"/>
                <w:lang w:val="zh-TW"/>
              </w:rPr>
              <w:t>询问质疑投诉处理；</w:t>
            </w:r>
            <w:r>
              <w:rPr>
                <w:rFonts w:hint="eastAsia" w:ascii="方正仿宋_GBK" w:hAnsi="方正仿宋_GBK" w:eastAsia="方正仿宋_GBK" w:cs="方正仿宋_GBK"/>
                <w:color w:val="auto"/>
                <w:lang w:val="en-US" w:eastAsia="zh-CN"/>
              </w:rPr>
              <w:t>4.拟投入本项目人员配置及职责分工。</w:t>
            </w:r>
          </w:p>
          <w:p w14:paraId="2E7D1B51">
            <w:pPr>
              <w:pageBreakBefore w:val="0"/>
              <w:widowControl w:val="0"/>
              <w:kinsoku w:val="0"/>
              <w:wordWrap/>
              <w:overflowPunct/>
              <w:topLinePunct/>
              <w:autoSpaceDE/>
              <w:autoSpaceDN/>
              <w:bidi w:val="0"/>
              <w:adjustRightInd/>
              <w:snapToGrid w:val="0"/>
              <w:spacing w:line="240" w:lineRule="auto"/>
              <w:textAlignment w:val="auto"/>
              <w:rPr>
                <w:rFonts w:hint="eastAsia" w:ascii="方正仿宋_GBK" w:hAnsi="方正仿宋_GBK" w:eastAsia="方正仿宋_GBK" w:cs="方正仿宋_GBK"/>
                <w:b w:val="0"/>
                <w:bCs/>
                <w:color w:val="auto"/>
                <w:kern w:val="0"/>
                <w:sz w:val="21"/>
                <w:szCs w:val="21"/>
                <w:lang w:val="zh-TW" w:eastAsia="zh-CN" w:bidi="ar-SA"/>
              </w:rPr>
            </w:pPr>
            <w:r>
              <w:rPr>
                <w:rFonts w:hint="eastAsia" w:ascii="方正仿宋_GBK" w:hAnsi="方正仿宋_GBK" w:eastAsia="方正仿宋_GBK" w:cs="方正仿宋_GBK"/>
                <w:color w:val="auto"/>
                <w:lang w:val="en-US" w:eastAsia="zh-CN"/>
              </w:rPr>
              <w:t>针对</w:t>
            </w:r>
            <w:r>
              <w:rPr>
                <w:rFonts w:hint="eastAsia" w:ascii="方正仿宋_GBK" w:hAnsi="方正仿宋_GBK" w:eastAsia="方正仿宋_GBK" w:cs="方正仿宋_GBK"/>
                <w:color w:val="auto"/>
                <w:lang w:val="zh-TW"/>
              </w:rPr>
              <w:t>以上</w:t>
            </w:r>
            <w:r>
              <w:rPr>
                <w:rFonts w:hint="eastAsia" w:ascii="方正仿宋_GBK" w:hAnsi="方正仿宋_GBK" w:eastAsia="方正仿宋_GBK" w:cs="方正仿宋_GBK"/>
                <w:color w:val="auto"/>
                <w:lang w:val="en-US" w:eastAsia="zh-CN"/>
              </w:rPr>
              <w:t>4</w:t>
            </w:r>
            <w:r>
              <w:rPr>
                <w:rFonts w:hint="eastAsia" w:ascii="方正仿宋_GBK" w:hAnsi="方正仿宋_GBK" w:eastAsia="方正仿宋_GBK" w:cs="方正仿宋_GBK"/>
                <w:color w:val="auto"/>
                <w:lang w:val="zh-TW"/>
              </w:rPr>
              <w:t>项，分别进行综合比较评审，每</w:t>
            </w:r>
            <w:r>
              <w:rPr>
                <w:rFonts w:hint="eastAsia" w:ascii="方正仿宋_GBK" w:hAnsi="方正仿宋_GBK" w:eastAsia="方正仿宋_GBK" w:cs="方正仿宋_GBK"/>
                <w:color w:val="auto"/>
              </w:rPr>
              <w:t>1</w:t>
            </w:r>
            <w:r>
              <w:rPr>
                <w:rFonts w:hint="eastAsia" w:ascii="方正仿宋_GBK" w:hAnsi="方正仿宋_GBK" w:eastAsia="方正仿宋_GBK" w:cs="方正仿宋_GBK"/>
                <w:color w:val="auto"/>
                <w:lang w:val="zh-TW"/>
              </w:rPr>
              <w:t>项优</w:t>
            </w:r>
            <w:r>
              <w:rPr>
                <w:rFonts w:hint="eastAsia" w:ascii="方正仿宋_GBK" w:hAnsi="方正仿宋_GBK" w:eastAsia="方正仿宋_GBK" w:cs="方正仿宋_GBK"/>
                <w:color w:val="auto"/>
                <w:lang w:val="zh-TW" w:eastAsia="zh-TW"/>
              </w:rPr>
              <w:t>得</w:t>
            </w:r>
            <w:r>
              <w:rPr>
                <w:rFonts w:hint="eastAsia" w:ascii="方正仿宋_GBK" w:hAnsi="方正仿宋_GBK" w:eastAsia="方正仿宋_GBK" w:cs="方正仿宋_GBK"/>
                <w:color w:val="auto"/>
                <w:lang w:val="en-US" w:eastAsia="zh-CN"/>
              </w:rPr>
              <w:t>10</w:t>
            </w:r>
            <w:r>
              <w:rPr>
                <w:rFonts w:hint="eastAsia" w:ascii="方正仿宋_GBK" w:hAnsi="方正仿宋_GBK" w:eastAsia="方正仿宋_GBK" w:cs="方正仿宋_GBK"/>
                <w:color w:val="auto"/>
                <w:lang w:val="zh-TW" w:eastAsia="zh-TW"/>
              </w:rPr>
              <w:t>分，</w:t>
            </w:r>
            <w:r>
              <w:rPr>
                <w:rFonts w:hint="eastAsia" w:ascii="方正仿宋_GBK" w:hAnsi="方正仿宋_GBK" w:eastAsia="方正仿宋_GBK" w:cs="方正仿宋_GBK"/>
                <w:color w:val="auto"/>
                <w:lang w:val="zh-TW"/>
              </w:rPr>
              <w:t>良</w:t>
            </w:r>
            <w:r>
              <w:rPr>
                <w:rFonts w:hint="eastAsia" w:ascii="方正仿宋_GBK" w:hAnsi="方正仿宋_GBK" w:eastAsia="方正仿宋_GBK" w:cs="方正仿宋_GBK"/>
                <w:color w:val="auto"/>
                <w:lang w:val="zh-TW" w:eastAsia="zh-TW"/>
              </w:rPr>
              <w:t>得</w:t>
            </w:r>
            <w:r>
              <w:rPr>
                <w:rFonts w:hint="eastAsia" w:ascii="方正仿宋_GBK" w:hAnsi="方正仿宋_GBK" w:eastAsia="方正仿宋_GBK" w:cs="方正仿宋_GBK"/>
                <w:color w:val="auto"/>
                <w:lang w:val="en-US" w:eastAsia="zh-CN"/>
              </w:rPr>
              <w:t>8</w:t>
            </w:r>
            <w:r>
              <w:rPr>
                <w:rFonts w:hint="eastAsia" w:ascii="方正仿宋_GBK" w:hAnsi="方正仿宋_GBK" w:eastAsia="方正仿宋_GBK" w:cs="方正仿宋_GBK"/>
                <w:color w:val="auto"/>
                <w:lang w:val="zh-TW" w:eastAsia="zh-TW"/>
              </w:rPr>
              <w:t>分，</w:t>
            </w:r>
            <w:r>
              <w:rPr>
                <w:rFonts w:hint="eastAsia" w:ascii="方正仿宋_GBK" w:hAnsi="方正仿宋_GBK" w:eastAsia="方正仿宋_GBK" w:cs="方正仿宋_GBK"/>
                <w:color w:val="auto"/>
                <w:lang w:val="zh-TW"/>
              </w:rPr>
              <w:t>一般</w:t>
            </w:r>
            <w:r>
              <w:rPr>
                <w:rFonts w:hint="eastAsia" w:ascii="方正仿宋_GBK" w:hAnsi="方正仿宋_GBK" w:eastAsia="方正仿宋_GBK" w:cs="方正仿宋_GBK"/>
                <w:color w:val="auto"/>
                <w:lang w:val="zh-TW" w:eastAsia="zh-TW"/>
              </w:rPr>
              <w:t>得</w:t>
            </w:r>
            <w:r>
              <w:rPr>
                <w:rFonts w:hint="eastAsia" w:ascii="方正仿宋_GBK" w:hAnsi="方正仿宋_GBK" w:eastAsia="方正仿宋_GBK" w:cs="方正仿宋_GBK"/>
                <w:color w:val="auto"/>
                <w:lang w:val="en-US" w:eastAsia="zh-CN"/>
              </w:rPr>
              <w:t>5</w:t>
            </w:r>
            <w:r>
              <w:rPr>
                <w:rFonts w:hint="eastAsia" w:ascii="方正仿宋_GBK" w:hAnsi="方正仿宋_GBK" w:eastAsia="方正仿宋_GBK" w:cs="方正仿宋_GBK"/>
                <w:color w:val="auto"/>
                <w:lang w:val="zh-TW" w:eastAsia="zh-TW"/>
              </w:rPr>
              <w:t>分，</w:t>
            </w:r>
            <w:r>
              <w:rPr>
                <w:rFonts w:hint="eastAsia" w:ascii="方正仿宋_GBK" w:hAnsi="方正仿宋_GBK" w:eastAsia="方正仿宋_GBK" w:cs="方正仿宋_GBK"/>
                <w:color w:val="auto"/>
                <w:lang w:val="zh-TW"/>
              </w:rPr>
              <w:t>差</w:t>
            </w:r>
            <w:r>
              <w:rPr>
                <w:rFonts w:hint="eastAsia" w:ascii="方正仿宋_GBK" w:hAnsi="方正仿宋_GBK" w:eastAsia="方正仿宋_GBK" w:cs="方正仿宋_GBK"/>
                <w:color w:val="auto"/>
                <w:lang w:val="zh-TW" w:eastAsia="zh-TW"/>
              </w:rPr>
              <w:t>不得分</w:t>
            </w:r>
            <w:r>
              <w:rPr>
                <w:rFonts w:hint="eastAsia" w:ascii="方正仿宋_GBK" w:hAnsi="方正仿宋_GBK" w:eastAsia="方正仿宋_GBK" w:cs="方正仿宋_GBK"/>
                <w:color w:val="auto"/>
                <w:lang w:val="zh-TW"/>
              </w:rPr>
              <w:t>，档次可并列。</w:t>
            </w:r>
          </w:p>
        </w:tc>
      </w:tr>
      <w:tr w14:paraId="66BC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423" w:type="dxa"/>
            <w:vMerge w:val="restart"/>
            <w:shd w:val="clear" w:color="auto" w:fill="auto"/>
            <w:noWrap w:val="0"/>
            <w:tcMar>
              <w:top w:w="80" w:type="dxa"/>
              <w:left w:w="80" w:type="dxa"/>
              <w:bottom w:w="80" w:type="dxa"/>
              <w:right w:w="80" w:type="dxa"/>
            </w:tcMar>
            <w:vAlign w:val="center"/>
          </w:tcPr>
          <w:p w14:paraId="6348F3DC">
            <w:pPr>
              <w:kinsoku w:val="0"/>
              <w:topLinePun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val="en-US" w:eastAsia="zh-CN"/>
              </w:rPr>
              <w:t>3</w:t>
            </w:r>
          </w:p>
        </w:tc>
        <w:tc>
          <w:tcPr>
            <w:tcW w:w="1211" w:type="dxa"/>
            <w:vMerge w:val="restart"/>
            <w:shd w:val="clear" w:color="auto" w:fill="auto"/>
            <w:noWrap w:val="0"/>
            <w:tcMar>
              <w:top w:w="80" w:type="dxa"/>
              <w:left w:w="80" w:type="dxa"/>
              <w:bottom w:w="80" w:type="dxa"/>
              <w:right w:w="80" w:type="dxa"/>
            </w:tcMar>
            <w:vAlign w:val="center"/>
          </w:tcPr>
          <w:p w14:paraId="0B2EC47F">
            <w:pPr>
              <w:kinsoku w:val="0"/>
              <w:topLinePunct/>
              <w:ind w:firstLine="2"/>
              <w:jc w:val="center"/>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rPr>
              <w:t>项目管理机构</w:t>
            </w:r>
          </w:p>
          <w:p w14:paraId="2AD00BCD">
            <w:pPr>
              <w:kinsoku w:val="0"/>
              <w:topLinePunct/>
              <w:ind w:firstLine="2"/>
              <w:jc w:val="center"/>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rPr>
              <w:t>（</w:t>
            </w:r>
            <w:r>
              <w:rPr>
                <w:rFonts w:hint="eastAsia" w:ascii="方正仿宋_GBK" w:hAnsi="方正仿宋_GBK" w:eastAsia="方正仿宋_GBK" w:cs="方正仿宋_GBK"/>
                <w:color w:val="auto"/>
                <w:lang w:val="en-US" w:eastAsia="zh-CN"/>
              </w:rPr>
              <w:t>30</w:t>
            </w:r>
            <w:r>
              <w:rPr>
                <w:rFonts w:hint="eastAsia" w:ascii="方正仿宋_GBK" w:hAnsi="方正仿宋_GBK" w:eastAsia="方正仿宋_GBK" w:cs="方正仿宋_GBK"/>
                <w:color w:val="auto"/>
              </w:rPr>
              <w:t>分）</w:t>
            </w:r>
          </w:p>
        </w:tc>
        <w:tc>
          <w:tcPr>
            <w:tcW w:w="1063" w:type="dxa"/>
            <w:shd w:val="clear" w:color="auto" w:fill="auto"/>
            <w:noWrap w:val="0"/>
            <w:tcMar>
              <w:top w:w="80" w:type="dxa"/>
              <w:left w:w="80" w:type="dxa"/>
              <w:bottom w:w="80" w:type="dxa"/>
              <w:right w:w="80" w:type="dxa"/>
            </w:tcMar>
            <w:vAlign w:val="center"/>
          </w:tcPr>
          <w:p w14:paraId="543591DB">
            <w:pPr>
              <w:kinsoku w:val="0"/>
              <w:topLinePunct/>
              <w:jc w:val="center"/>
              <w:rPr>
                <w:rFonts w:hint="eastAsia" w:ascii="方正仿宋_GBK" w:hAnsi="方正仿宋_GBK" w:eastAsia="方正仿宋_GBK" w:cs="方正仿宋_GBK"/>
                <w:color w:val="auto"/>
                <w:lang w:val="en-US" w:eastAsia="zh-CN"/>
              </w:rPr>
            </w:pPr>
            <w:r>
              <w:rPr>
                <w:rFonts w:hint="eastAsia" w:ascii="方正仿宋_GBK" w:hAnsi="方正仿宋_GBK" w:eastAsia="方正仿宋_GBK" w:cs="方正仿宋_GBK"/>
                <w:color w:val="auto"/>
                <w:lang w:val="en-US" w:eastAsia="zh-CN"/>
              </w:rPr>
              <w:t>基本情况</w:t>
            </w:r>
          </w:p>
        </w:tc>
        <w:tc>
          <w:tcPr>
            <w:tcW w:w="6260" w:type="dxa"/>
            <w:shd w:val="clear" w:color="auto" w:fill="auto"/>
            <w:noWrap w:val="0"/>
            <w:tcMar>
              <w:top w:w="80" w:type="dxa"/>
              <w:left w:w="80" w:type="dxa"/>
              <w:bottom w:w="80" w:type="dxa"/>
              <w:right w:w="80" w:type="dxa"/>
            </w:tcMar>
            <w:vAlign w:val="center"/>
          </w:tcPr>
          <w:p w14:paraId="65DB6B80">
            <w:pPr>
              <w:pageBreakBefore w:val="0"/>
              <w:widowControl w:val="0"/>
              <w:numPr>
                <w:ilvl w:val="0"/>
                <w:numId w:val="2"/>
              </w:numPr>
              <w:kinsoku w:val="0"/>
              <w:wordWrap/>
              <w:overflowPunct/>
              <w:topLinePunct/>
              <w:autoSpaceDE/>
              <w:autoSpaceDN/>
              <w:bidi w:val="0"/>
              <w:adjustRightInd/>
              <w:snapToGrid w:val="0"/>
              <w:spacing w:line="240" w:lineRule="auto"/>
              <w:textAlignment w:val="auto"/>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rPr>
              <w:t>本项目负责人具有政府采购代理服务从业经验，其中有10年及以上从业经验的得</w:t>
            </w:r>
            <w:r>
              <w:rPr>
                <w:rFonts w:hint="eastAsia" w:ascii="方正仿宋_GBK" w:hAnsi="方正仿宋_GBK" w:eastAsia="方正仿宋_GBK" w:cs="方正仿宋_GBK"/>
                <w:color w:val="auto"/>
                <w:lang w:val="en-US" w:eastAsia="zh-CN"/>
              </w:rPr>
              <w:t>8</w:t>
            </w:r>
            <w:r>
              <w:rPr>
                <w:rFonts w:hint="eastAsia" w:ascii="方正仿宋_GBK" w:hAnsi="方正仿宋_GBK" w:eastAsia="方正仿宋_GBK" w:cs="方正仿宋_GBK"/>
                <w:color w:val="auto"/>
              </w:rPr>
              <w:t>分，5年以上-10年以下的得4分，3-5年从业经验的得2分，其余不得分；</w:t>
            </w:r>
          </w:p>
          <w:p w14:paraId="07963A70">
            <w:pPr>
              <w:pageBreakBefore w:val="0"/>
              <w:widowControl w:val="0"/>
              <w:numPr>
                <w:ilvl w:val="0"/>
                <w:numId w:val="2"/>
              </w:numPr>
              <w:kinsoku w:val="0"/>
              <w:wordWrap/>
              <w:overflowPunct/>
              <w:topLinePunct/>
              <w:autoSpaceDE/>
              <w:autoSpaceDN/>
              <w:bidi w:val="0"/>
              <w:adjustRightInd/>
              <w:snapToGrid w:val="0"/>
              <w:spacing w:line="240" w:lineRule="auto"/>
              <w:textAlignment w:val="auto"/>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rPr>
              <w:t>拟派本项目其他人员具有</w:t>
            </w:r>
            <w:r>
              <w:rPr>
                <w:rFonts w:hint="eastAsia" w:ascii="方正仿宋_GBK" w:hAnsi="方正仿宋_GBK" w:eastAsia="方正仿宋_GBK" w:cs="方正仿宋_GBK"/>
                <w:color w:val="auto"/>
                <w:lang w:val="en-US" w:eastAsia="zh-CN"/>
              </w:rPr>
              <w:t>3年及以上</w:t>
            </w:r>
            <w:r>
              <w:rPr>
                <w:rFonts w:hint="eastAsia" w:ascii="方正仿宋_GBK" w:hAnsi="方正仿宋_GBK" w:eastAsia="方正仿宋_GBK" w:cs="方正仿宋_GBK"/>
                <w:color w:val="auto"/>
              </w:rPr>
              <w:t>政府采购代理服务从业经验的每人得2分，最多得</w:t>
            </w:r>
            <w:r>
              <w:rPr>
                <w:rFonts w:hint="eastAsia" w:ascii="方正仿宋_GBK" w:hAnsi="方正仿宋_GBK" w:eastAsia="方正仿宋_GBK" w:cs="方正仿宋_GBK"/>
                <w:color w:val="auto"/>
                <w:lang w:val="en-US" w:eastAsia="zh-CN"/>
              </w:rPr>
              <w:t>6</w:t>
            </w:r>
            <w:r>
              <w:rPr>
                <w:rFonts w:hint="eastAsia" w:ascii="方正仿宋_GBK" w:hAnsi="方正仿宋_GBK" w:eastAsia="方正仿宋_GBK" w:cs="方正仿宋_GBK"/>
                <w:color w:val="auto"/>
              </w:rPr>
              <w:t>分</w:t>
            </w:r>
            <w:r>
              <w:rPr>
                <w:rFonts w:hint="eastAsia" w:ascii="方正仿宋_GBK" w:hAnsi="方正仿宋_GBK" w:eastAsia="方正仿宋_GBK" w:cs="方正仿宋_GBK"/>
                <w:color w:val="auto"/>
                <w:lang w:eastAsia="zh-CN"/>
              </w:rPr>
              <w:t>；</w:t>
            </w:r>
          </w:p>
          <w:p w14:paraId="699BDB7F">
            <w:pPr>
              <w:pageBreakBefore w:val="0"/>
              <w:widowControl w:val="0"/>
              <w:numPr>
                <w:ilvl w:val="0"/>
                <w:numId w:val="2"/>
              </w:numPr>
              <w:kinsoku w:val="0"/>
              <w:wordWrap/>
              <w:overflowPunct/>
              <w:topLinePunct/>
              <w:autoSpaceDE/>
              <w:autoSpaceDN/>
              <w:bidi w:val="0"/>
              <w:adjustRightInd/>
              <w:snapToGrid w:val="0"/>
              <w:spacing w:line="240" w:lineRule="auto"/>
              <w:textAlignment w:val="auto"/>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lang w:val="en-US" w:eastAsia="zh-CN"/>
              </w:rPr>
              <w:t>上述1-2项人员中具有四川省评审专家资格证书的，每人得2分，最多得4分。</w:t>
            </w:r>
          </w:p>
          <w:p w14:paraId="5C6371D3">
            <w:pPr>
              <w:pStyle w:val="67"/>
              <w:pageBreakBefore w:val="0"/>
              <w:widowControl w:val="0"/>
              <w:numPr>
                <w:ilvl w:val="0"/>
                <w:numId w:val="0"/>
              </w:numPr>
              <w:kinsoku w:val="0"/>
              <w:wordWrap/>
              <w:overflowPunct/>
              <w:topLinePunct/>
              <w:autoSpaceDE/>
              <w:autoSpaceDN/>
              <w:bidi w:val="0"/>
              <w:adjustRightInd/>
              <w:snapToGrid w:val="0"/>
              <w:spacing w:before="0" w:after="0" w:line="240" w:lineRule="auto"/>
              <w:textAlignment w:val="auto"/>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b w:val="0"/>
                <w:bCs/>
                <w:color w:val="auto"/>
                <w:sz w:val="21"/>
                <w:szCs w:val="21"/>
              </w:rPr>
              <w:t>说明：上述人员的政府采购代理服务从业经验证明材料以《四川省养老保险历年缴费信息》中历史缴费情况为准，并加盖</w:t>
            </w:r>
            <w:r>
              <w:rPr>
                <w:rFonts w:hint="eastAsia" w:ascii="方正仿宋_GBK" w:hAnsi="方正仿宋_GBK" w:eastAsia="方正仿宋_GBK" w:cs="方正仿宋_GBK"/>
                <w:b w:val="0"/>
                <w:bCs/>
                <w:color w:val="auto"/>
                <w:sz w:val="21"/>
                <w:szCs w:val="21"/>
                <w:lang w:val="en-US" w:eastAsia="zh-CN"/>
              </w:rPr>
              <w:t>比选申请人</w:t>
            </w:r>
            <w:r>
              <w:rPr>
                <w:rFonts w:hint="eastAsia" w:ascii="方正仿宋_GBK" w:hAnsi="方正仿宋_GBK" w:eastAsia="方正仿宋_GBK" w:cs="方正仿宋_GBK"/>
                <w:b w:val="0"/>
                <w:bCs/>
                <w:color w:val="auto"/>
                <w:sz w:val="21"/>
                <w:szCs w:val="21"/>
              </w:rPr>
              <w:t>公章。</w:t>
            </w:r>
          </w:p>
        </w:tc>
      </w:tr>
      <w:tr w14:paraId="73C07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176" w:hRule="atLeast"/>
          <w:jc w:val="center"/>
        </w:trPr>
        <w:tc>
          <w:tcPr>
            <w:tcW w:w="423" w:type="dxa"/>
            <w:vMerge w:val="continue"/>
            <w:shd w:val="clear" w:color="auto" w:fill="auto"/>
            <w:noWrap w:val="0"/>
            <w:tcMar>
              <w:top w:w="80" w:type="dxa"/>
              <w:left w:w="80" w:type="dxa"/>
              <w:bottom w:w="80" w:type="dxa"/>
              <w:right w:w="80" w:type="dxa"/>
            </w:tcMar>
            <w:vAlign w:val="center"/>
          </w:tcPr>
          <w:p w14:paraId="72583C4E">
            <w:pPr>
              <w:kinsoku w:val="0"/>
              <w:topLinePunct/>
              <w:jc w:val="center"/>
              <w:rPr>
                <w:rFonts w:hint="eastAsia" w:ascii="方正仿宋_GBK" w:hAnsi="方正仿宋_GBK" w:eastAsia="方正仿宋_GBK" w:cs="方正仿宋_GBK"/>
                <w:color w:val="auto"/>
                <w:sz w:val="24"/>
                <w:szCs w:val="24"/>
              </w:rPr>
            </w:pPr>
          </w:p>
        </w:tc>
        <w:tc>
          <w:tcPr>
            <w:tcW w:w="1211" w:type="dxa"/>
            <w:vMerge w:val="continue"/>
            <w:shd w:val="clear" w:color="auto" w:fill="auto"/>
            <w:noWrap w:val="0"/>
            <w:tcMar>
              <w:top w:w="80" w:type="dxa"/>
              <w:left w:w="80" w:type="dxa"/>
              <w:bottom w:w="80" w:type="dxa"/>
              <w:right w:w="80" w:type="dxa"/>
            </w:tcMar>
            <w:vAlign w:val="center"/>
          </w:tcPr>
          <w:p w14:paraId="40179A35">
            <w:pPr>
              <w:kinsoku w:val="0"/>
              <w:topLinePunct/>
              <w:ind w:firstLine="2"/>
              <w:jc w:val="center"/>
              <w:rPr>
                <w:rFonts w:hint="eastAsia" w:ascii="方正仿宋_GBK" w:hAnsi="方正仿宋_GBK" w:eastAsia="方正仿宋_GBK" w:cs="方正仿宋_GBK"/>
                <w:color w:val="auto"/>
              </w:rPr>
            </w:pPr>
          </w:p>
        </w:tc>
        <w:tc>
          <w:tcPr>
            <w:tcW w:w="1063" w:type="dxa"/>
            <w:shd w:val="clear" w:color="auto" w:fill="auto"/>
            <w:noWrap w:val="0"/>
            <w:tcMar>
              <w:top w:w="80" w:type="dxa"/>
              <w:left w:w="80" w:type="dxa"/>
              <w:bottom w:w="80" w:type="dxa"/>
              <w:right w:w="80" w:type="dxa"/>
            </w:tcMar>
            <w:vAlign w:val="center"/>
          </w:tcPr>
          <w:p w14:paraId="6EB4B147">
            <w:pPr>
              <w:keepNext w:val="0"/>
              <w:keepLines w:val="0"/>
              <w:pageBreakBefore w:val="0"/>
              <w:widowControl w:val="0"/>
              <w:kinsoku w:val="0"/>
              <w:wordWrap/>
              <w:overflowPunct/>
              <w:topLinePunct/>
              <w:autoSpaceDE/>
              <w:autoSpaceDN/>
              <w:bidi w:val="0"/>
              <w:adjustRightInd/>
              <w:spacing w:line="240" w:lineRule="auto"/>
              <w:jc w:val="center"/>
              <w:textAlignment w:val="auto"/>
              <w:rPr>
                <w:rFonts w:hint="eastAsia" w:ascii="方正仿宋_GBK" w:hAnsi="方正仿宋_GBK" w:eastAsia="方正仿宋_GBK" w:cs="方正仿宋_GBK"/>
                <w:color w:val="auto"/>
                <w:lang w:val="en-US" w:eastAsia="zh-CN"/>
              </w:rPr>
            </w:pPr>
            <w:r>
              <w:rPr>
                <w:rFonts w:hint="eastAsia" w:ascii="方正仿宋_GBK" w:hAnsi="方正仿宋_GBK" w:eastAsia="方正仿宋_GBK" w:cs="方正仿宋_GBK"/>
                <w:color w:val="auto"/>
                <w:lang w:val="en-US" w:eastAsia="zh-CN"/>
              </w:rPr>
              <w:t>项目承载能力</w:t>
            </w:r>
          </w:p>
        </w:tc>
        <w:tc>
          <w:tcPr>
            <w:tcW w:w="6260" w:type="dxa"/>
            <w:shd w:val="clear" w:color="auto" w:fill="auto"/>
            <w:noWrap w:val="0"/>
            <w:tcMar>
              <w:top w:w="80" w:type="dxa"/>
              <w:left w:w="80" w:type="dxa"/>
              <w:bottom w:w="80" w:type="dxa"/>
              <w:right w:w="80" w:type="dxa"/>
            </w:tcMar>
            <w:vAlign w:val="center"/>
          </w:tcPr>
          <w:p w14:paraId="4D921328">
            <w:pPr>
              <w:keepNext w:val="0"/>
              <w:keepLines w:val="0"/>
              <w:pageBreakBefore w:val="0"/>
              <w:widowControl w:val="0"/>
              <w:numPr>
                <w:ilvl w:val="0"/>
                <w:numId w:val="3"/>
              </w:numPr>
              <w:kinsoku w:val="0"/>
              <w:wordWrap/>
              <w:overflowPunct/>
              <w:topLinePunct/>
              <w:autoSpaceDE/>
              <w:autoSpaceDN/>
              <w:bidi w:val="0"/>
              <w:adjustRightInd/>
              <w:snapToGrid w:val="0"/>
              <w:spacing w:line="240" w:lineRule="auto"/>
              <w:textAlignment w:val="auto"/>
              <w:rPr>
                <w:rFonts w:hint="eastAsia" w:ascii="方正仿宋_GBK" w:hAnsi="方正仿宋_GBK" w:eastAsia="方正仿宋_GBK" w:cs="方正仿宋_GBK"/>
                <w:b w:val="0"/>
                <w:color w:val="auto"/>
                <w:kern w:val="2"/>
                <w:sz w:val="21"/>
                <w:szCs w:val="24"/>
                <w:lang w:val="zh-TW" w:eastAsia="zh-CN" w:bidi="ar-SA"/>
              </w:rPr>
            </w:pPr>
            <w:r>
              <w:rPr>
                <w:rFonts w:hint="eastAsia" w:ascii="方正仿宋_GBK" w:hAnsi="方正仿宋_GBK" w:eastAsia="方正仿宋_GBK" w:cs="方正仿宋_GBK"/>
                <w:color w:val="auto"/>
                <w:lang w:val="zh-TW" w:eastAsia="zh-CN"/>
              </w:rPr>
              <w:t>比选申请人</w:t>
            </w:r>
            <w:r>
              <w:rPr>
                <w:rFonts w:hint="eastAsia" w:ascii="方正仿宋_GBK" w:hAnsi="方正仿宋_GBK" w:eastAsia="方正仿宋_GBK" w:cs="方正仿宋_GBK"/>
                <w:color w:val="auto"/>
                <w:lang w:val="zh-TW"/>
              </w:rPr>
              <w:t>面积在</w:t>
            </w:r>
            <w:r>
              <w:rPr>
                <w:rFonts w:hint="eastAsia" w:ascii="方正仿宋_GBK" w:hAnsi="方正仿宋_GBK" w:eastAsia="方正仿宋_GBK" w:cs="方正仿宋_GBK"/>
                <w:color w:val="auto"/>
                <w:lang w:val="en-US" w:eastAsia="zh-CN"/>
              </w:rPr>
              <w:t>800</w:t>
            </w:r>
            <w:r>
              <w:rPr>
                <w:rFonts w:hint="eastAsia" w:ascii="方正仿宋_GBK" w:hAnsi="方正仿宋_GBK" w:eastAsia="方正仿宋_GBK" w:cs="方正仿宋_GBK"/>
                <w:color w:val="auto"/>
              </w:rPr>
              <w:t>㎡（含）以上的计</w:t>
            </w:r>
            <w:r>
              <w:rPr>
                <w:rFonts w:hint="eastAsia" w:ascii="方正仿宋_GBK" w:hAnsi="方正仿宋_GBK" w:eastAsia="方正仿宋_GBK" w:cs="方正仿宋_GBK"/>
                <w:color w:val="auto"/>
                <w:lang w:val="en-US" w:eastAsia="zh-CN"/>
              </w:rPr>
              <w:t>4</w:t>
            </w:r>
            <w:r>
              <w:rPr>
                <w:rFonts w:hint="eastAsia" w:ascii="方正仿宋_GBK" w:hAnsi="方正仿宋_GBK" w:eastAsia="方正仿宋_GBK" w:cs="方正仿宋_GBK"/>
                <w:color w:val="auto"/>
              </w:rPr>
              <w:t>分，</w:t>
            </w:r>
            <w:r>
              <w:rPr>
                <w:rFonts w:hint="eastAsia" w:ascii="方正仿宋_GBK" w:hAnsi="方正仿宋_GBK" w:eastAsia="方正仿宋_GBK" w:cs="方正仿宋_GBK"/>
                <w:color w:val="auto"/>
                <w:lang w:val="en-US" w:eastAsia="zh-CN"/>
              </w:rPr>
              <w:t>800-500</w:t>
            </w:r>
            <w:r>
              <w:rPr>
                <w:rFonts w:hint="eastAsia" w:ascii="方正仿宋_GBK" w:hAnsi="方正仿宋_GBK" w:eastAsia="方正仿宋_GBK" w:cs="方正仿宋_GBK"/>
                <w:color w:val="auto"/>
              </w:rPr>
              <w:t>㎡（含）计</w:t>
            </w:r>
            <w:r>
              <w:rPr>
                <w:rFonts w:hint="eastAsia" w:ascii="方正仿宋_GBK" w:hAnsi="方正仿宋_GBK" w:eastAsia="方正仿宋_GBK" w:cs="方正仿宋_GBK"/>
                <w:color w:val="auto"/>
                <w:lang w:val="en-US" w:eastAsia="zh-CN"/>
              </w:rPr>
              <w:t>3</w:t>
            </w:r>
            <w:r>
              <w:rPr>
                <w:rFonts w:hint="eastAsia" w:ascii="方正仿宋_GBK" w:hAnsi="方正仿宋_GBK" w:eastAsia="方正仿宋_GBK" w:cs="方正仿宋_GBK"/>
                <w:color w:val="auto"/>
              </w:rPr>
              <w:t>分，</w:t>
            </w:r>
            <w:r>
              <w:rPr>
                <w:rFonts w:hint="eastAsia" w:ascii="方正仿宋_GBK" w:hAnsi="方正仿宋_GBK" w:eastAsia="方正仿宋_GBK" w:cs="方正仿宋_GBK"/>
                <w:color w:val="auto"/>
                <w:lang w:val="en-US" w:eastAsia="zh-CN"/>
              </w:rPr>
              <w:t>5</w:t>
            </w:r>
            <w:r>
              <w:rPr>
                <w:rFonts w:hint="eastAsia" w:ascii="方正仿宋_GBK" w:hAnsi="方正仿宋_GBK" w:eastAsia="方正仿宋_GBK" w:cs="方正仿宋_GBK"/>
                <w:color w:val="auto"/>
              </w:rPr>
              <w:t>00㎡</w:t>
            </w:r>
            <w:r>
              <w:rPr>
                <w:rFonts w:hint="eastAsia" w:ascii="方正仿宋_GBK" w:hAnsi="方正仿宋_GBK" w:eastAsia="方正仿宋_GBK" w:cs="方正仿宋_GBK"/>
                <w:color w:val="auto"/>
                <w:lang w:val="en-US" w:eastAsia="zh-CN"/>
              </w:rPr>
              <w:t>以下</w:t>
            </w:r>
            <w:r>
              <w:rPr>
                <w:rFonts w:hint="eastAsia" w:ascii="方正仿宋_GBK" w:hAnsi="方正仿宋_GBK" w:eastAsia="方正仿宋_GBK" w:cs="方正仿宋_GBK"/>
                <w:color w:val="auto"/>
              </w:rPr>
              <w:t>的计1分，其余不得分。</w:t>
            </w:r>
          </w:p>
          <w:p w14:paraId="75178FD9">
            <w:pPr>
              <w:keepNext w:val="0"/>
              <w:keepLines w:val="0"/>
              <w:pageBreakBefore w:val="0"/>
              <w:widowControl w:val="0"/>
              <w:numPr>
                <w:ilvl w:val="0"/>
                <w:numId w:val="3"/>
              </w:numPr>
              <w:kinsoku w:val="0"/>
              <w:wordWrap/>
              <w:overflowPunct/>
              <w:topLinePunct/>
              <w:autoSpaceDE/>
              <w:autoSpaceDN/>
              <w:bidi w:val="0"/>
              <w:adjustRightInd/>
              <w:snapToGrid w:val="0"/>
              <w:spacing w:line="240" w:lineRule="auto"/>
              <w:textAlignment w:val="auto"/>
              <w:rPr>
                <w:rFonts w:hint="eastAsia" w:ascii="方正仿宋_GBK" w:hAnsi="方正仿宋_GBK" w:eastAsia="方正仿宋_GBK" w:cs="方正仿宋_GBK"/>
                <w:b w:val="0"/>
                <w:color w:val="auto"/>
                <w:kern w:val="2"/>
                <w:sz w:val="21"/>
                <w:szCs w:val="24"/>
                <w:lang w:val="zh-TW" w:eastAsia="zh-CN" w:bidi="ar-SA"/>
              </w:rPr>
            </w:pPr>
            <w:r>
              <w:rPr>
                <w:rFonts w:hint="eastAsia" w:ascii="方正仿宋_GBK" w:hAnsi="方正仿宋_GBK" w:eastAsia="方正仿宋_GBK" w:cs="方正仿宋_GBK"/>
                <w:b w:val="0"/>
                <w:color w:val="auto"/>
                <w:kern w:val="2"/>
                <w:sz w:val="21"/>
                <w:szCs w:val="24"/>
                <w:lang w:val="en-US" w:eastAsia="zh-CN" w:bidi="ar-SA"/>
              </w:rPr>
              <w:t>每具有1个独立开标室的得1分，最多得2分；</w:t>
            </w:r>
          </w:p>
          <w:p w14:paraId="31FF5E11">
            <w:pPr>
              <w:keepNext w:val="0"/>
              <w:keepLines w:val="0"/>
              <w:pageBreakBefore w:val="0"/>
              <w:widowControl w:val="0"/>
              <w:numPr>
                <w:ilvl w:val="0"/>
                <w:numId w:val="3"/>
              </w:numPr>
              <w:kinsoku w:val="0"/>
              <w:wordWrap/>
              <w:overflowPunct/>
              <w:topLinePunct/>
              <w:autoSpaceDE/>
              <w:autoSpaceDN/>
              <w:bidi w:val="0"/>
              <w:adjustRightInd/>
              <w:snapToGrid w:val="0"/>
              <w:spacing w:line="240" w:lineRule="auto"/>
              <w:ind w:left="907" w:leftChars="0" w:hanging="907" w:firstLineChars="0"/>
              <w:textAlignment w:val="auto"/>
              <w:rPr>
                <w:rFonts w:hint="eastAsia" w:ascii="方正仿宋_GBK" w:hAnsi="方正仿宋_GBK" w:eastAsia="方正仿宋_GBK" w:cs="方正仿宋_GBK"/>
                <w:b w:val="0"/>
                <w:color w:val="auto"/>
                <w:kern w:val="2"/>
                <w:sz w:val="21"/>
                <w:szCs w:val="24"/>
                <w:lang w:val="zh-TW" w:eastAsia="zh-CN" w:bidi="ar-SA"/>
              </w:rPr>
            </w:pPr>
            <w:r>
              <w:rPr>
                <w:rFonts w:hint="eastAsia" w:ascii="方正仿宋_GBK" w:hAnsi="方正仿宋_GBK" w:eastAsia="方正仿宋_GBK" w:cs="方正仿宋_GBK"/>
                <w:b w:val="0"/>
                <w:color w:val="auto"/>
                <w:kern w:val="2"/>
                <w:sz w:val="21"/>
                <w:szCs w:val="24"/>
                <w:lang w:val="en-US" w:eastAsia="zh-CN" w:bidi="ar-SA"/>
              </w:rPr>
              <w:t>每具有1个独立</w:t>
            </w:r>
            <w:r>
              <w:rPr>
                <w:rFonts w:hint="eastAsia" w:ascii="方正仿宋_GBK" w:hAnsi="方正仿宋_GBK" w:eastAsia="方正仿宋_GBK" w:cs="方正仿宋_GBK"/>
                <w:b w:val="0"/>
                <w:color w:val="auto"/>
                <w:kern w:val="2"/>
                <w:sz w:val="21"/>
                <w:szCs w:val="24"/>
                <w:lang w:val="zh-TW" w:eastAsia="zh-CN" w:bidi="ar-SA"/>
              </w:rPr>
              <w:t>监督室的</w:t>
            </w:r>
            <w:r>
              <w:rPr>
                <w:rFonts w:hint="eastAsia" w:ascii="方正仿宋_GBK" w:hAnsi="方正仿宋_GBK" w:eastAsia="方正仿宋_GBK" w:cs="方正仿宋_GBK"/>
                <w:b w:val="0"/>
                <w:color w:val="auto"/>
                <w:kern w:val="2"/>
                <w:sz w:val="21"/>
                <w:szCs w:val="24"/>
                <w:lang w:val="en-US" w:eastAsia="zh-CN" w:bidi="ar-SA"/>
              </w:rPr>
              <w:t>得1</w:t>
            </w:r>
            <w:r>
              <w:rPr>
                <w:rFonts w:hint="eastAsia" w:ascii="方正仿宋_GBK" w:hAnsi="方正仿宋_GBK" w:eastAsia="方正仿宋_GBK" w:cs="方正仿宋_GBK"/>
                <w:b w:val="0"/>
                <w:color w:val="auto"/>
                <w:kern w:val="2"/>
                <w:sz w:val="21"/>
                <w:szCs w:val="24"/>
                <w:lang w:val="zh-TW" w:eastAsia="zh-CN" w:bidi="ar-SA"/>
              </w:rPr>
              <w:t>分，</w:t>
            </w:r>
            <w:r>
              <w:rPr>
                <w:rFonts w:hint="eastAsia" w:ascii="方正仿宋_GBK" w:hAnsi="方正仿宋_GBK" w:eastAsia="方正仿宋_GBK" w:cs="方正仿宋_GBK"/>
                <w:b w:val="0"/>
                <w:color w:val="auto"/>
                <w:kern w:val="2"/>
                <w:sz w:val="21"/>
                <w:szCs w:val="24"/>
                <w:lang w:val="en-US" w:eastAsia="zh-CN" w:bidi="ar-SA"/>
              </w:rPr>
              <w:t>最多得2分；</w:t>
            </w:r>
          </w:p>
          <w:p w14:paraId="1E482E8A">
            <w:pPr>
              <w:keepNext w:val="0"/>
              <w:keepLines w:val="0"/>
              <w:pageBreakBefore w:val="0"/>
              <w:widowControl w:val="0"/>
              <w:numPr>
                <w:ilvl w:val="0"/>
                <w:numId w:val="3"/>
              </w:numPr>
              <w:kinsoku w:val="0"/>
              <w:wordWrap/>
              <w:overflowPunct/>
              <w:topLinePunct/>
              <w:autoSpaceDE/>
              <w:autoSpaceDN/>
              <w:bidi w:val="0"/>
              <w:adjustRightInd/>
              <w:snapToGrid w:val="0"/>
              <w:spacing w:line="240" w:lineRule="auto"/>
              <w:ind w:left="907" w:leftChars="0" w:hanging="907" w:firstLineChars="0"/>
              <w:textAlignment w:val="auto"/>
              <w:rPr>
                <w:rFonts w:hint="eastAsia" w:ascii="方正仿宋_GBK" w:hAnsi="方正仿宋_GBK" w:eastAsia="方正仿宋_GBK" w:cs="方正仿宋_GBK"/>
                <w:b w:val="0"/>
                <w:color w:val="auto"/>
                <w:kern w:val="2"/>
                <w:sz w:val="21"/>
                <w:szCs w:val="24"/>
                <w:lang w:val="en-US" w:eastAsia="zh-CN" w:bidi="ar-SA"/>
              </w:rPr>
            </w:pPr>
            <w:r>
              <w:rPr>
                <w:rFonts w:hint="eastAsia" w:ascii="方正仿宋_GBK" w:hAnsi="方正仿宋_GBK" w:eastAsia="方正仿宋_GBK" w:cs="方正仿宋_GBK"/>
                <w:b w:val="0"/>
                <w:color w:val="auto"/>
                <w:kern w:val="2"/>
                <w:sz w:val="21"/>
                <w:szCs w:val="24"/>
                <w:lang w:val="en-US" w:eastAsia="zh-CN" w:bidi="ar-SA"/>
              </w:rPr>
              <w:t>每具有1个</w:t>
            </w:r>
            <w:r>
              <w:rPr>
                <w:rFonts w:hint="eastAsia" w:ascii="方正仿宋_GBK" w:hAnsi="方正仿宋_GBK" w:eastAsia="方正仿宋_GBK" w:cs="方正仿宋_GBK"/>
                <w:b w:val="0"/>
                <w:color w:val="auto"/>
                <w:kern w:val="2"/>
                <w:sz w:val="21"/>
                <w:szCs w:val="24"/>
                <w:lang w:val="zh-TW" w:eastAsia="zh-CN" w:bidi="ar-SA"/>
              </w:rPr>
              <w:t>电子化评标室的</w:t>
            </w:r>
            <w:r>
              <w:rPr>
                <w:rFonts w:hint="eastAsia" w:ascii="方正仿宋_GBK" w:hAnsi="方正仿宋_GBK" w:eastAsia="方正仿宋_GBK" w:cs="方正仿宋_GBK"/>
                <w:b w:val="0"/>
                <w:color w:val="auto"/>
                <w:kern w:val="2"/>
                <w:sz w:val="21"/>
                <w:szCs w:val="24"/>
                <w:lang w:val="en-US" w:eastAsia="zh-CN" w:bidi="ar-SA"/>
              </w:rPr>
              <w:t>得2</w:t>
            </w:r>
            <w:r>
              <w:rPr>
                <w:rFonts w:hint="eastAsia" w:ascii="方正仿宋_GBK" w:hAnsi="方正仿宋_GBK" w:eastAsia="方正仿宋_GBK" w:cs="方正仿宋_GBK"/>
                <w:b w:val="0"/>
                <w:color w:val="auto"/>
                <w:kern w:val="2"/>
                <w:sz w:val="21"/>
                <w:szCs w:val="24"/>
                <w:lang w:val="zh-TW" w:eastAsia="zh-CN" w:bidi="ar-SA"/>
              </w:rPr>
              <w:t>分，</w:t>
            </w:r>
            <w:r>
              <w:rPr>
                <w:rFonts w:hint="eastAsia" w:ascii="方正仿宋_GBK" w:hAnsi="方正仿宋_GBK" w:eastAsia="方正仿宋_GBK" w:cs="方正仿宋_GBK"/>
                <w:b w:val="0"/>
                <w:color w:val="auto"/>
                <w:kern w:val="2"/>
                <w:sz w:val="21"/>
                <w:szCs w:val="24"/>
                <w:lang w:val="en-US" w:eastAsia="zh-CN" w:bidi="ar-SA"/>
              </w:rPr>
              <w:t>最多得4分。</w:t>
            </w:r>
          </w:p>
          <w:p w14:paraId="679AA7F2">
            <w:pPr>
              <w:keepNext w:val="0"/>
              <w:keepLines w:val="0"/>
              <w:pageBreakBefore w:val="0"/>
              <w:widowControl w:val="0"/>
              <w:numPr>
                <w:ilvl w:val="0"/>
                <w:numId w:val="0"/>
              </w:numPr>
              <w:kinsoku w:val="0"/>
              <w:wordWrap/>
              <w:overflowPunct/>
              <w:topLinePunct/>
              <w:autoSpaceDE/>
              <w:autoSpaceDN/>
              <w:bidi w:val="0"/>
              <w:adjustRightInd/>
              <w:snapToGrid w:val="0"/>
              <w:spacing w:line="240" w:lineRule="auto"/>
              <w:textAlignment w:val="auto"/>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rPr>
              <w:t>说明：提供</w:t>
            </w:r>
            <w:r>
              <w:rPr>
                <w:rFonts w:hint="eastAsia" w:ascii="方正仿宋_GBK" w:hAnsi="方正仿宋_GBK" w:eastAsia="方正仿宋_GBK" w:cs="方正仿宋_GBK"/>
                <w:color w:val="auto"/>
                <w:lang w:eastAsia="zh-CN"/>
              </w:rPr>
              <w:t>比选申请人</w:t>
            </w:r>
            <w:r>
              <w:rPr>
                <w:rFonts w:hint="eastAsia" w:ascii="方正仿宋_GBK" w:hAnsi="方正仿宋_GBK" w:eastAsia="方正仿宋_GBK" w:cs="方正仿宋_GBK"/>
                <w:color w:val="auto"/>
              </w:rPr>
              <w:t>的①开评标</w:t>
            </w:r>
            <w:r>
              <w:rPr>
                <w:rFonts w:hint="eastAsia" w:ascii="方正仿宋_GBK" w:hAnsi="方正仿宋_GBK" w:eastAsia="方正仿宋_GBK" w:cs="方正仿宋_GBK"/>
                <w:color w:val="auto"/>
                <w:lang w:eastAsia="zh-CN"/>
              </w:rPr>
              <w:t>、</w:t>
            </w:r>
            <w:r>
              <w:rPr>
                <w:rFonts w:hint="eastAsia" w:ascii="方正仿宋_GBK" w:hAnsi="方正仿宋_GBK" w:eastAsia="方正仿宋_GBK" w:cs="方正仿宋_GBK"/>
                <w:color w:val="auto"/>
                <w:lang w:val="en-US" w:eastAsia="zh-CN"/>
              </w:rPr>
              <w:t>监督室和电子化评标室</w:t>
            </w:r>
            <w:r>
              <w:rPr>
                <w:rFonts w:hint="eastAsia" w:ascii="方正仿宋_GBK" w:hAnsi="方正仿宋_GBK" w:eastAsia="方正仿宋_GBK" w:cs="方正仿宋_GBK"/>
                <w:color w:val="auto"/>
              </w:rPr>
              <w:t>场地照片，②租房合同或房屋产权证明复印件，加盖</w:t>
            </w:r>
            <w:r>
              <w:rPr>
                <w:rFonts w:hint="eastAsia" w:ascii="方正仿宋_GBK" w:hAnsi="方正仿宋_GBK" w:eastAsia="方正仿宋_GBK" w:cs="方正仿宋_GBK"/>
                <w:b w:val="0"/>
                <w:bCs/>
                <w:color w:val="auto"/>
                <w:sz w:val="21"/>
                <w:szCs w:val="21"/>
                <w:lang w:val="en-US" w:eastAsia="zh-CN"/>
              </w:rPr>
              <w:t>比选申请人</w:t>
            </w:r>
            <w:r>
              <w:rPr>
                <w:rFonts w:hint="eastAsia" w:ascii="方正仿宋_GBK" w:hAnsi="方正仿宋_GBK" w:eastAsia="方正仿宋_GBK" w:cs="方正仿宋_GBK"/>
                <w:color w:val="auto"/>
              </w:rPr>
              <w:t>公章。</w:t>
            </w:r>
          </w:p>
        </w:tc>
      </w:tr>
      <w:tr w14:paraId="4B1B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67" w:hRule="atLeast"/>
          <w:jc w:val="center"/>
        </w:trPr>
        <w:tc>
          <w:tcPr>
            <w:tcW w:w="423" w:type="dxa"/>
            <w:shd w:val="clear" w:color="auto" w:fill="auto"/>
            <w:noWrap w:val="0"/>
            <w:tcMar>
              <w:top w:w="80" w:type="dxa"/>
              <w:left w:w="80" w:type="dxa"/>
              <w:bottom w:w="80" w:type="dxa"/>
              <w:right w:w="80" w:type="dxa"/>
            </w:tcMar>
            <w:vAlign w:val="center"/>
          </w:tcPr>
          <w:p w14:paraId="0BF6E3B1">
            <w:pPr>
              <w:kinsoku w:val="0"/>
              <w:topLinePun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val="en-US" w:eastAsia="zh-CN"/>
              </w:rPr>
              <w:t>4</w:t>
            </w:r>
          </w:p>
        </w:tc>
        <w:tc>
          <w:tcPr>
            <w:tcW w:w="1211" w:type="dxa"/>
            <w:shd w:val="clear" w:color="auto" w:fill="auto"/>
            <w:noWrap w:val="0"/>
            <w:tcMar>
              <w:top w:w="80" w:type="dxa"/>
              <w:left w:w="80" w:type="dxa"/>
              <w:bottom w:w="80" w:type="dxa"/>
              <w:right w:w="80" w:type="dxa"/>
            </w:tcMar>
            <w:vAlign w:val="center"/>
          </w:tcPr>
          <w:p w14:paraId="4EAF26CB">
            <w:pPr>
              <w:kinsoku w:val="0"/>
              <w:topLinePunct/>
              <w:ind w:firstLine="2"/>
              <w:jc w:val="center"/>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rPr>
              <w:t>政府采购代理业绩</w:t>
            </w:r>
          </w:p>
          <w:p w14:paraId="5CAC997B">
            <w:pPr>
              <w:kinsoku w:val="0"/>
              <w:topLinePunct/>
              <w:ind w:firstLine="2"/>
              <w:jc w:val="center"/>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rPr>
              <w:t>（</w:t>
            </w:r>
            <w:r>
              <w:rPr>
                <w:rFonts w:hint="eastAsia" w:ascii="方正仿宋_GBK" w:hAnsi="方正仿宋_GBK" w:eastAsia="方正仿宋_GBK" w:cs="方正仿宋_GBK"/>
                <w:color w:val="auto"/>
                <w:lang w:val="en-US" w:eastAsia="zh-CN"/>
              </w:rPr>
              <w:t>20</w:t>
            </w:r>
            <w:r>
              <w:rPr>
                <w:rFonts w:hint="eastAsia" w:ascii="方正仿宋_GBK" w:hAnsi="方正仿宋_GBK" w:eastAsia="方正仿宋_GBK" w:cs="方正仿宋_GBK"/>
                <w:color w:val="auto"/>
              </w:rPr>
              <w:t>分）</w:t>
            </w:r>
          </w:p>
        </w:tc>
        <w:tc>
          <w:tcPr>
            <w:tcW w:w="1063" w:type="dxa"/>
            <w:shd w:val="clear" w:color="auto" w:fill="auto"/>
            <w:noWrap w:val="0"/>
            <w:tcMar>
              <w:top w:w="80" w:type="dxa"/>
              <w:left w:w="80" w:type="dxa"/>
              <w:bottom w:w="80" w:type="dxa"/>
              <w:right w:w="80" w:type="dxa"/>
            </w:tcMar>
            <w:vAlign w:val="center"/>
          </w:tcPr>
          <w:p w14:paraId="51946577">
            <w:pPr>
              <w:kinsoku w:val="0"/>
              <w:topLinePunct/>
              <w:jc w:val="center"/>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rPr>
              <w:t>采购代理业绩</w:t>
            </w:r>
          </w:p>
        </w:tc>
        <w:tc>
          <w:tcPr>
            <w:tcW w:w="6260" w:type="dxa"/>
            <w:shd w:val="clear" w:color="auto" w:fill="auto"/>
            <w:noWrap w:val="0"/>
            <w:tcMar>
              <w:top w:w="80" w:type="dxa"/>
              <w:left w:w="80" w:type="dxa"/>
              <w:bottom w:w="80" w:type="dxa"/>
              <w:right w:w="80" w:type="dxa"/>
            </w:tcMar>
            <w:vAlign w:val="center"/>
          </w:tcPr>
          <w:p w14:paraId="747E14DC">
            <w:pPr>
              <w:pStyle w:val="68"/>
              <w:pageBreakBefore w:val="0"/>
              <w:numPr>
                <w:ilvl w:val="0"/>
                <w:numId w:val="0"/>
              </w:numPr>
              <w:kinsoku w:val="0"/>
              <w:wordWrap/>
              <w:overflowPunct/>
              <w:topLinePunct/>
              <w:autoSpaceDE/>
              <w:autoSpaceDN/>
              <w:bidi w:val="0"/>
              <w:adjustRightInd/>
              <w:snapToGrid w:val="0"/>
              <w:spacing w:line="240" w:lineRule="auto"/>
              <w:textAlignment w:val="auto"/>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rPr>
              <w:t>根据比选申请人提供的2022年1月1日至今的四川省内货物类采购项目业绩，其中：</w:t>
            </w:r>
          </w:p>
          <w:p w14:paraId="4B943F5C">
            <w:pPr>
              <w:pStyle w:val="68"/>
              <w:pageBreakBefore w:val="0"/>
              <w:numPr>
                <w:ilvl w:val="0"/>
                <w:numId w:val="0"/>
              </w:numPr>
              <w:kinsoku w:val="0"/>
              <w:wordWrap/>
              <w:overflowPunct/>
              <w:topLinePunct/>
              <w:autoSpaceDE/>
              <w:autoSpaceDN/>
              <w:bidi w:val="0"/>
              <w:adjustRightInd/>
              <w:snapToGrid w:val="0"/>
              <w:spacing w:line="240" w:lineRule="auto"/>
              <w:textAlignment w:val="auto"/>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rPr>
              <w:t>1、每具有1个政府采购项目业绩得2分，最多得10分（提供四川政府采购网结果公告加盖比选申请人公章）；</w:t>
            </w:r>
          </w:p>
          <w:p w14:paraId="58A1F5F5">
            <w:pPr>
              <w:pStyle w:val="68"/>
              <w:pageBreakBefore w:val="0"/>
              <w:numPr>
                <w:ilvl w:val="0"/>
                <w:numId w:val="0"/>
              </w:numPr>
              <w:kinsoku w:val="0"/>
              <w:wordWrap/>
              <w:overflowPunct/>
              <w:topLinePunct/>
              <w:autoSpaceDE/>
              <w:autoSpaceDN/>
              <w:bidi w:val="0"/>
              <w:adjustRightInd/>
              <w:snapToGrid w:val="0"/>
              <w:spacing w:line="240" w:lineRule="auto"/>
              <w:textAlignment w:val="auto"/>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rPr>
              <w:t>2、每具有1个非政府采购项目业绩得2分，最多得10分（提供结果公告加盖比选申请人公章）。</w:t>
            </w:r>
          </w:p>
        </w:tc>
      </w:tr>
    </w:tbl>
    <w:p w14:paraId="3F04F368">
      <w:pPr>
        <w:rPr>
          <w:b/>
          <w:color w:val="FF0000"/>
          <w:sz w:val="30"/>
          <w:szCs w:val="30"/>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altName w:val="方正书宋_GBK"/>
    <w:panose1 w:val="02010600030101010101"/>
    <w:charset w:val="8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黑体_GBK">
    <w:panose1 w:val="02000000000000000000"/>
    <w:charset w:val="86"/>
    <w:family w:val="auto"/>
    <w:pitch w:val="default"/>
    <w:sig w:usb0="00000001" w:usb1="08000000" w:usb2="00000000" w:usb3="00000000" w:csb0="00040000" w:csb1="00000000"/>
  </w:font>
  <w:font w:name="Calibri Light">
    <w:altName w:val="Times New Roman"/>
    <w:panose1 w:val="020F0302020204030204"/>
    <w:charset w:val="00"/>
    <w:family w:val="swiss"/>
    <w:pitch w:val="default"/>
    <w:sig w:usb0="00000000" w:usb1="00000000" w:usb2="00000009" w:usb3="00000000" w:csb0="200001F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6C40">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DC0368">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DDC0368">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D7CA70"/>
    <w:multiLevelType w:val="singleLevel"/>
    <w:tmpl w:val="E2D7CA70"/>
    <w:lvl w:ilvl="0" w:tentative="0">
      <w:start w:val="1"/>
      <w:numFmt w:val="decimal"/>
      <w:suff w:val="nothing"/>
      <w:lvlText w:val="%1、"/>
      <w:lvlJc w:val="left"/>
    </w:lvl>
  </w:abstractNum>
  <w:abstractNum w:abstractNumId="1">
    <w:nsid w:val="F7421631"/>
    <w:multiLevelType w:val="singleLevel"/>
    <w:tmpl w:val="F7421631"/>
    <w:lvl w:ilvl="0" w:tentative="0">
      <w:start w:val="1"/>
      <w:numFmt w:val="decimal"/>
      <w:suff w:val="nothing"/>
      <w:lvlText w:val="%1、"/>
      <w:lvlJc w:val="left"/>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67"/>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yYzcxNzg1YTg0M2YyOWE1ZjVkZDY2ZTBhNjA2MWUifQ=="/>
  </w:docVars>
  <w:rsids>
    <w:rsidRoot w:val="007B3EBB"/>
    <w:rsid w:val="00002AB5"/>
    <w:rsid w:val="00051172"/>
    <w:rsid w:val="00062242"/>
    <w:rsid w:val="00065CD7"/>
    <w:rsid w:val="000F7552"/>
    <w:rsid w:val="001365E1"/>
    <w:rsid w:val="001517C7"/>
    <w:rsid w:val="001F18DE"/>
    <w:rsid w:val="0021579E"/>
    <w:rsid w:val="003165C8"/>
    <w:rsid w:val="003667C3"/>
    <w:rsid w:val="00367703"/>
    <w:rsid w:val="00466CAB"/>
    <w:rsid w:val="004D3298"/>
    <w:rsid w:val="0053154C"/>
    <w:rsid w:val="00544803"/>
    <w:rsid w:val="005F04A7"/>
    <w:rsid w:val="00670887"/>
    <w:rsid w:val="0071451A"/>
    <w:rsid w:val="007B3EBB"/>
    <w:rsid w:val="007D0265"/>
    <w:rsid w:val="008F073E"/>
    <w:rsid w:val="009323C7"/>
    <w:rsid w:val="00937038"/>
    <w:rsid w:val="009765C4"/>
    <w:rsid w:val="00A343CC"/>
    <w:rsid w:val="00A7420B"/>
    <w:rsid w:val="00A96777"/>
    <w:rsid w:val="00AC00C7"/>
    <w:rsid w:val="00AC02E0"/>
    <w:rsid w:val="00AC1201"/>
    <w:rsid w:val="00AE7943"/>
    <w:rsid w:val="00BD50D6"/>
    <w:rsid w:val="00C27F06"/>
    <w:rsid w:val="00C40592"/>
    <w:rsid w:val="00CA563A"/>
    <w:rsid w:val="00CB7460"/>
    <w:rsid w:val="00D263F5"/>
    <w:rsid w:val="00D306DD"/>
    <w:rsid w:val="00E97F9A"/>
    <w:rsid w:val="00F96A31"/>
    <w:rsid w:val="00FB2BC9"/>
    <w:rsid w:val="00FD05E7"/>
    <w:rsid w:val="038B2C77"/>
    <w:rsid w:val="0472108C"/>
    <w:rsid w:val="04F815E4"/>
    <w:rsid w:val="08FE2EBC"/>
    <w:rsid w:val="124D401A"/>
    <w:rsid w:val="14D33E42"/>
    <w:rsid w:val="15126A81"/>
    <w:rsid w:val="165D408E"/>
    <w:rsid w:val="175A3139"/>
    <w:rsid w:val="1C264276"/>
    <w:rsid w:val="1CF11025"/>
    <w:rsid w:val="1D8D116F"/>
    <w:rsid w:val="26D33D1C"/>
    <w:rsid w:val="28C15BF7"/>
    <w:rsid w:val="2E4E1627"/>
    <w:rsid w:val="2F960104"/>
    <w:rsid w:val="328E699F"/>
    <w:rsid w:val="34B36AE9"/>
    <w:rsid w:val="3A1D593D"/>
    <w:rsid w:val="3A4411C1"/>
    <w:rsid w:val="47E9276D"/>
    <w:rsid w:val="4C7A3A1B"/>
    <w:rsid w:val="4CEC3A18"/>
    <w:rsid w:val="4D8D3AEC"/>
    <w:rsid w:val="4EF71CCF"/>
    <w:rsid w:val="50632B3C"/>
    <w:rsid w:val="54EE4340"/>
    <w:rsid w:val="56021549"/>
    <w:rsid w:val="58201656"/>
    <w:rsid w:val="59A84483"/>
    <w:rsid w:val="5A3F2FCC"/>
    <w:rsid w:val="5B325313"/>
    <w:rsid w:val="5CA245F1"/>
    <w:rsid w:val="5DD97295"/>
    <w:rsid w:val="60726D03"/>
    <w:rsid w:val="624C1682"/>
    <w:rsid w:val="660F5943"/>
    <w:rsid w:val="6A5B6AE3"/>
    <w:rsid w:val="6AB75639"/>
    <w:rsid w:val="6DC862CB"/>
    <w:rsid w:val="6F457B85"/>
    <w:rsid w:val="6FBE53DB"/>
    <w:rsid w:val="731F10EE"/>
    <w:rsid w:val="732255A4"/>
    <w:rsid w:val="748810F9"/>
    <w:rsid w:val="77276A0B"/>
    <w:rsid w:val="774D79E2"/>
    <w:rsid w:val="78472B6A"/>
    <w:rsid w:val="7BF81BBA"/>
    <w:rsid w:val="99FF05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0"/>
    <w:pPr>
      <w:keepNext/>
      <w:keepLines/>
      <w:spacing w:line="360" w:lineRule="auto"/>
      <w:outlineLvl w:val="2"/>
    </w:pPr>
    <w:rPr>
      <w:rFonts w:ascii="Times New Roman" w:hAnsi="Times New Roman"/>
      <w:b/>
      <w:bCs/>
      <w:sz w:val="24"/>
      <w:szCs w:val="32"/>
    </w:rPr>
  </w:style>
  <w:style w:type="paragraph" w:styleId="3">
    <w:name w:val="heading 4"/>
    <w:basedOn w:val="1"/>
    <w:next w:val="1"/>
    <w:qFormat/>
    <w:uiPriority w:val="0"/>
    <w:pPr>
      <w:keepNext/>
      <w:keepLines/>
      <w:spacing w:before="280" w:after="290" w:line="374" w:lineRule="auto"/>
      <w:outlineLvl w:val="3"/>
    </w:pPr>
    <w:rPr>
      <w:rFonts w:ascii="Arial" w:hAnsi="Arial" w:eastAsia="黑体"/>
      <w:b/>
      <w:bCs/>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qFormat/>
    <w:uiPriority w:val="0"/>
    <w:pPr>
      <w:jc w:val="left"/>
    </w:pPr>
  </w:style>
  <w:style w:type="paragraph" w:styleId="5">
    <w:name w:val="Body Text"/>
    <w:basedOn w:val="1"/>
    <w:next w:val="1"/>
    <w:semiHidden/>
    <w:qFormat/>
    <w:uiPriority w:val="0"/>
    <w:pPr>
      <w:jc w:val="center"/>
    </w:pPr>
    <w:rPr>
      <w:rFonts w:ascii="Times New Roman" w:hAnsi="Times New Roman" w:eastAsia="黑体"/>
      <w:sz w:val="36"/>
    </w:rPr>
  </w:style>
  <w:style w:type="paragraph" w:styleId="6">
    <w:name w:val="footer"/>
    <w:basedOn w:val="1"/>
    <w:link w:val="27"/>
    <w:qFormat/>
    <w:uiPriority w:val="0"/>
    <w:pPr>
      <w:tabs>
        <w:tab w:val="center" w:pos="4153"/>
        <w:tab w:val="right" w:pos="8306"/>
      </w:tabs>
      <w:snapToGrid w:val="0"/>
      <w:jc w:val="left"/>
    </w:pPr>
    <w:rPr>
      <w:sz w:val="18"/>
      <w:szCs w:val="18"/>
    </w:rPr>
  </w:style>
  <w:style w:type="paragraph" w:styleId="7">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9">
    <w:name w:val="toc 2"/>
    <w:basedOn w:val="1"/>
    <w:next w:val="1"/>
    <w:qFormat/>
    <w:uiPriority w:val="39"/>
    <w:pPr>
      <w:ind w:left="420" w:leftChars="200"/>
    </w:pPr>
    <w:rPr>
      <w:rFonts w:ascii="宋体" w:hAnsi="宋体"/>
      <w:sz w:val="28"/>
      <w:szCs w:val="24"/>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rPr>
  </w:style>
  <w:style w:type="paragraph" w:styleId="11">
    <w:name w:val="annotation subject"/>
    <w:basedOn w:val="4"/>
    <w:next w:val="4"/>
    <w:link w:val="22"/>
    <w:qFormat/>
    <w:uiPriority w:val="0"/>
    <w:rPr>
      <w:b/>
      <w:bCs/>
    </w:rPr>
  </w:style>
  <w:style w:type="table" w:styleId="13">
    <w:name w:val="Table Grid"/>
    <w:basedOn w:val="12"/>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FollowedHyperlink"/>
    <w:basedOn w:val="14"/>
    <w:qFormat/>
    <w:uiPriority w:val="0"/>
    <w:rPr>
      <w:color w:val="2490F8"/>
      <w:u w:val="none"/>
    </w:rPr>
  </w:style>
  <w:style w:type="character" w:styleId="16">
    <w:name w:val="Emphasis"/>
    <w:basedOn w:val="14"/>
    <w:qFormat/>
    <w:uiPriority w:val="0"/>
  </w:style>
  <w:style w:type="character" w:styleId="17">
    <w:name w:val="Hyperlink"/>
    <w:basedOn w:val="14"/>
    <w:qFormat/>
    <w:uiPriority w:val="0"/>
    <w:rPr>
      <w:color w:val="2490F8"/>
      <w:u w:val="none"/>
    </w:rPr>
  </w:style>
  <w:style w:type="character" w:styleId="18">
    <w:name w:val="annotation reference"/>
    <w:basedOn w:val="14"/>
    <w:qFormat/>
    <w:uiPriority w:val="0"/>
    <w:rPr>
      <w:sz w:val="21"/>
      <w:szCs w:val="21"/>
    </w:rPr>
  </w:style>
  <w:style w:type="paragraph" w:customStyle="1" w:styleId="19">
    <w:name w:val="BG标题"/>
    <w:basedOn w:val="1"/>
    <w:next w:val="1"/>
    <w:qFormat/>
    <w:uiPriority w:val="0"/>
    <w:pPr>
      <w:spacing w:line="600" w:lineRule="exact"/>
      <w:jc w:val="center"/>
    </w:pPr>
    <w:rPr>
      <w:rFonts w:ascii="Times New Roman" w:hAnsi="Times New Roman" w:eastAsia="方正小标宋_GBK"/>
      <w:sz w:val="44"/>
      <w:szCs w:val="44"/>
    </w:rPr>
  </w:style>
  <w:style w:type="paragraph" w:customStyle="1" w:styleId="20">
    <w:name w:val="修订1"/>
    <w:hidden/>
    <w:semiHidden/>
    <w:qFormat/>
    <w:uiPriority w:val="99"/>
    <w:rPr>
      <w:rFonts w:ascii="Calibri" w:hAnsi="Calibri" w:eastAsia="宋体" w:cs="Times New Roman"/>
      <w:kern w:val="2"/>
      <w:sz w:val="21"/>
      <w:szCs w:val="22"/>
      <w:lang w:val="en-US" w:eastAsia="zh-CN" w:bidi="ar-SA"/>
    </w:rPr>
  </w:style>
  <w:style w:type="character" w:customStyle="1" w:styleId="21">
    <w:name w:val="批注文字 字符"/>
    <w:basedOn w:val="14"/>
    <w:link w:val="4"/>
    <w:qFormat/>
    <w:uiPriority w:val="0"/>
    <w:rPr>
      <w:rFonts w:ascii="Calibri" w:hAnsi="Calibri" w:eastAsia="宋体" w:cs="Times New Roman"/>
      <w:kern w:val="2"/>
      <w:sz w:val="21"/>
      <w:szCs w:val="22"/>
    </w:rPr>
  </w:style>
  <w:style w:type="character" w:customStyle="1" w:styleId="22">
    <w:name w:val="批注主题 字符"/>
    <w:basedOn w:val="21"/>
    <w:link w:val="11"/>
    <w:qFormat/>
    <w:uiPriority w:val="0"/>
    <w:rPr>
      <w:rFonts w:ascii="Calibri" w:hAnsi="Calibri" w:eastAsia="宋体" w:cs="Times New Roman"/>
      <w:b/>
      <w:bCs/>
      <w:kern w:val="2"/>
      <w:sz w:val="21"/>
      <w:szCs w:val="22"/>
    </w:rPr>
  </w:style>
  <w:style w:type="paragraph" w:styleId="23">
    <w:name w:val="List Paragraph"/>
    <w:basedOn w:val="1"/>
    <w:qFormat/>
    <w:uiPriority w:val="99"/>
    <w:pPr>
      <w:ind w:firstLine="420" w:firstLineChars="200"/>
    </w:pPr>
  </w:style>
  <w:style w:type="paragraph" w:customStyle="1" w:styleId="24">
    <w:name w:val="BG正文"/>
    <w:basedOn w:val="1"/>
    <w:qFormat/>
    <w:uiPriority w:val="0"/>
    <w:pPr>
      <w:spacing w:line="600" w:lineRule="exact"/>
      <w:ind w:firstLine="200" w:firstLineChars="200"/>
    </w:pPr>
    <w:rPr>
      <w:rFonts w:eastAsia="方正仿宋_GBK" w:asciiTheme="minorHAnsi" w:hAnsiTheme="minorHAnsi" w:cstheme="minorBidi"/>
      <w:sz w:val="32"/>
      <w:szCs w:val="24"/>
    </w:rPr>
  </w:style>
  <w:style w:type="paragraph" w:customStyle="1" w:styleId="25">
    <w:name w:val="修订2"/>
    <w:hidden/>
    <w:semiHidden/>
    <w:qFormat/>
    <w:uiPriority w:val="99"/>
    <w:rPr>
      <w:rFonts w:ascii="Calibri" w:hAnsi="Calibri" w:eastAsia="宋体" w:cs="Times New Roman"/>
      <w:kern w:val="2"/>
      <w:sz w:val="21"/>
      <w:szCs w:val="22"/>
      <w:lang w:val="en-US" w:eastAsia="zh-CN" w:bidi="ar-SA"/>
    </w:rPr>
  </w:style>
  <w:style w:type="character" w:customStyle="1" w:styleId="26">
    <w:name w:val="页眉 字符"/>
    <w:basedOn w:val="14"/>
    <w:link w:val="7"/>
    <w:qFormat/>
    <w:uiPriority w:val="0"/>
    <w:rPr>
      <w:rFonts w:ascii="Calibri" w:hAnsi="Calibri" w:eastAsia="宋体" w:cs="Times New Roman"/>
      <w:kern w:val="2"/>
      <w:sz w:val="18"/>
      <w:szCs w:val="18"/>
    </w:rPr>
  </w:style>
  <w:style w:type="character" w:customStyle="1" w:styleId="27">
    <w:name w:val="页脚 字符"/>
    <w:basedOn w:val="14"/>
    <w:link w:val="6"/>
    <w:qFormat/>
    <w:uiPriority w:val="0"/>
    <w:rPr>
      <w:rFonts w:ascii="Calibri" w:hAnsi="Calibri" w:eastAsia="宋体" w:cs="Times New Roman"/>
      <w:kern w:val="2"/>
      <w:sz w:val="18"/>
      <w:szCs w:val="18"/>
    </w:rPr>
  </w:style>
  <w:style w:type="paragraph" w:customStyle="1" w:styleId="28">
    <w:name w:val="图文"/>
    <w:basedOn w:val="1"/>
    <w:qFormat/>
    <w:uiPriority w:val="0"/>
    <w:pPr>
      <w:snapToGrid w:val="0"/>
      <w:spacing w:after="50" w:line="360" w:lineRule="auto"/>
    </w:pPr>
    <w:rPr>
      <w:rFonts w:ascii="Times New Roman" w:hAnsi="Times New Roman"/>
      <w:sz w:val="24"/>
      <w:szCs w:val="24"/>
    </w:rPr>
  </w:style>
  <w:style w:type="paragraph" w:customStyle="1" w:styleId="29">
    <w:name w:val="Revision"/>
    <w:hidden/>
    <w:semiHidden/>
    <w:qFormat/>
    <w:uiPriority w:val="99"/>
    <w:rPr>
      <w:rFonts w:ascii="Calibri" w:hAnsi="Calibri" w:eastAsia="宋体" w:cs="Times New Roman"/>
      <w:kern w:val="2"/>
      <w:sz w:val="21"/>
      <w:szCs w:val="22"/>
      <w:lang w:val="en-US" w:eastAsia="zh-CN" w:bidi="ar-SA"/>
    </w:rPr>
  </w:style>
  <w:style w:type="character" w:customStyle="1" w:styleId="30">
    <w:name w:val="iconline2"/>
    <w:basedOn w:val="14"/>
    <w:qFormat/>
    <w:uiPriority w:val="0"/>
  </w:style>
  <w:style w:type="character" w:customStyle="1" w:styleId="31">
    <w:name w:val="iconline21"/>
    <w:basedOn w:val="14"/>
    <w:qFormat/>
    <w:uiPriority w:val="0"/>
  </w:style>
  <w:style w:type="character" w:customStyle="1" w:styleId="32">
    <w:name w:val="hilite6"/>
    <w:basedOn w:val="14"/>
    <w:qFormat/>
    <w:uiPriority w:val="0"/>
    <w:rPr>
      <w:color w:val="FFFFFF"/>
      <w:shd w:val="clear" w:fill="666666"/>
    </w:rPr>
  </w:style>
  <w:style w:type="character" w:customStyle="1" w:styleId="33">
    <w:name w:val="pagechatarealistclose_box"/>
    <w:basedOn w:val="14"/>
    <w:qFormat/>
    <w:uiPriority w:val="0"/>
  </w:style>
  <w:style w:type="character" w:customStyle="1" w:styleId="34">
    <w:name w:val="pagechatarealistclose_box1"/>
    <w:basedOn w:val="14"/>
    <w:qFormat/>
    <w:uiPriority w:val="0"/>
  </w:style>
  <w:style w:type="character" w:customStyle="1" w:styleId="35">
    <w:name w:val="deleterow"/>
    <w:basedOn w:val="14"/>
    <w:qFormat/>
    <w:uiPriority w:val="0"/>
    <w:rPr>
      <w:color w:val="FF5E5E"/>
    </w:rPr>
  </w:style>
  <w:style w:type="character" w:customStyle="1" w:styleId="36">
    <w:name w:val="cy"/>
    <w:basedOn w:val="14"/>
    <w:qFormat/>
    <w:uiPriority w:val="0"/>
  </w:style>
  <w:style w:type="character" w:customStyle="1" w:styleId="37">
    <w:name w:val="button4"/>
    <w:basedOn w:val="14"/>
    <w:qFormat/>
    <w:uiPriority w:val="0"/>
  </w:style>
  <w:style w:type="character" w:customStyle="1" w:styleId="38">
    <w:name w:val="associateddata"/>
    <w:basedOn w:val="14"/>
    <w:qFormat/>
    <w:uiPriority w:val="0"/>
    <w:rPr>
      <w:shd w:val="clear" w:fill="50A6F9"/>
    </w:rPr>
  </w:style>
  <w:style w:type="character" w:customStyle="1" w:styleId="39">
    <w:name w:val="icontext2"/>
    <w:basedOn w:val="14"/>
    <w:qFormat/>
    <w:uiPriority w:val="0"/>
  </w:style>
  <w:style w:type="character" w:customStyle="1" w:styleId="40">
    <w:name w:val="ico1654"/>
    <w:basedOn w:val="14"/>
    <w:qFormat/>
    <w:uiPriority w:val="0"/>
  </w:style>
  <w:style w:type="character" w:customStyle="1" w:styleId="41">
    <w:name w:val="ico1655"/>
    <w:basedOn w:val="14"/>
    <w:qFormat/>
    <w:uiPriority w:val="0"/>
  </w:style>
  <w:style w:type="character" w:customStyle="1" w:styleId="42">
    <w:name w:val="w32"/>
    <w:basedOn w:val="14"/>
    <w:qFormat/>
    <w:uiPriority w:val="0"/>
  </w:style>
  <w:style w:type="character" w:customStyle="1" w:styleId="43">
    <w:name w:val="icontext3"/>
    <w:basedOn w:val="14"/>
    <w:qFormat/>
    <w:uiPriority w:val="0"/>
  </w:style>
  <w:style w:type="character" w:customStyle="1" w:styleId="44">
    <w:name w:val="copyrow"/>
    <w:basedOn w:val="14"/>
    <w:qFormat/>
    <w:uiPriority w:val="0"/>
    <w:rPr>
      <w:color w:val="1F85EC"/>
    </w:rPr>
  </w:style>
  <w:style w:type="character" w:customStyle="1" w:styleId="45">
    <w:name w:val="active3"/>
    <w:basedOn w:val="14"/>
    <w:qFormat/>
    <w:uiPriority w:val="0"/>
    <w:rPr>
      <w:shd w:val="clear" w:fill="EC3535"/>
    </w:rPr>
  </w:style>
  <w:style w:type="character" w:customStyle="1" w:styleId="46">
    <w:name w:val="active4"/>
    <w:basedOn w:val="14"/>
    <w:qFormat/>
    <w:uiPriority w:val="0"/>
    <w:rPr>
      <w:color w:val="00FF00"/>
      <w:shd w:val="clear" w:fill="111111"/>
    </w:rPr>
  </w:style>
  <w:style w:type="character" w:customStyle="1" w:styleId="47">
    <w:name w:val="icontext1"/>
    <w:basedOn w:val="14"/>
    <w:qFormat/>
    <w:uiPriority w:val="0"/>
  </w:style>
  <w:style w:type="character" w:customStyle="1" w:styleId="48">
    <w:name w:val="icontext11"/>
    <w:basedOn w:val="14"/>
    <w:qFormat/>
    <w:uiPriority w:val="0"/>
  </w:style>
  <w:style w:type="character" w:customStyle="1" w:styleId="49">
    <w:name w:val="icontext12"/>
    <w:basedOn w:val="14"/>
    <w:qFormat/>
    <w:uiPriority w:val="0"/>
  </w:style>
  <w:style w:type="character" w:customStyle="1" w:styleId="50">
    <w:name w:val="first-child"/>
    <w:basedOn w:val="14"/>
    <w:qFormat/>
    <w:uiPriority w:val="0"/>
  </w:style>
  <w:style w:type="character" w:customStyle="1" w:styleId="51">
    <w:name w:val="after"/>
    <w:basedOn w:val="14"/>
    <w:qFormat/>
    <w:uiPriority w:val="0"/>
    <w:rPr>
      <w:sz w:val="0"/>
      <w:szCs w:val="0"/>
    </w:rPr>
  </w:style>
  <w:style w:type="character" w:customStyle="1" w:styleId="52">
    <w:name w:val="tmpztreemove_arrow"/>
    <w:basedOn w:val="14"/>
    <w:qFormat/>
    <w:uiPriority w:val="0"/>
  </w:style>
  <w:style w:type="character" w:customStyle="1" w:styleId="53">
    <w:name w:val="cdropleft"/>
    <w:basedOn w:val="14"/>
    <w:qFormat/>
    <w:uiPriority w:val="0"/>
  </w:style>
  <w:style w:type="character" w:customStyle="1" w:styleId="54">
    <w:name w:val="cdropright"/>
    <w:basedOn w:val="14"/>
    <w:qFormat/>
    <w:uiPriority w:val="0"/>
  </w:style>
  <w:style w:type="character" w:customStyle="1" w:styleId="55">
    <w:name w:val="drapbtn"/>
    <w:basedOn w:val="14"/>
    <w:qFormat/>
    <w:uiPriority w:val="0"/>
  </w:style>
  <w:style w:type="character" w:customStyle="1" w:styleId="56">
    <w:name w:val="layui-layer-tabnow"/>
    <w:basedOn w:val="14"/>
    <w:qFormat/>
    <w:uiPriority w:val="0"/>
    <w:rPr>
      <w:bdr w:val="single" w:color="CCCCCC" w:sz="6" w:space="0"/>
      <w:shd w:val="clear" w:fill="FFFFFF"/>
    </w:rPr>
  </w:style>
  <w:style w:type="character" w:customStyle="1" w:styleId="57">
    <w:name w:val="insertrow"/>
    <w:basedOn w:val="14"/>
    <w:qFormat/>
    <w:uiPriority w:val="0"/>
    <w:rPr>
      <w:color w:val="1F85EC"/>
    </w:rPr>
  </w:style>
  <w:style w:type="character" w:customStyle="1" w:styleId="58">
    <w:name w:val="ico16"/>
    <w:basedOn w:val="14"/>
    <w:qFormat/>
    <w:uiPriority w:val="0"/>
  </w:style>
  <w:style w:type="character" w:customStyle="1" w:styleId="59">
    <w:name w:val="active6"/>
    <w:basedOn w:val="14"/>
    <w:qFormat/>
    <w:uiPriority w:val="0"/>
    <w:rPr>
      <w:shd w:val="clear" w:fill="EC3535"/>
    </w:rPr>
  </w:style>
  <w:style w:type="character" w:customStyle="1" w:styleId="60">
    <w:name w:val="active7"/>
    <w:basedOn w:val="14"/>
    <w:qFormat/>
    <w:uiPriority w:val="0"/>
    <w:rPr>
      <w:color w:val="00FF00"/>
      <w:shd w:val="clear" w:fill="111111"/>
    </w:rPr>
  </w:style>
  <w:style w:type="character" w:customStyle="1" w:styleId="61">
    <w:name w:val="active"/>
    <w:basedOn w:val="14"/>
    <w:qFormat/>
    <w:uiPriority w:val="0"/>
    <w:rPr>
      <w:color w:val="00FF00"/>
      <w:shd w:val="clear" w:fill="111111"/>
    </w:rPr>
  </w:style>
  <w:style w:type="character" w:customStyle="1" w:styleId="62">
    <w:name w:val="active1"/>
    <w:basedOn w:val="14"/>
    <w:qFormat/>
    <w:uiPriority w:val="0"/>
    <w:rPr>
      <w:shd w:val="clear" w:fill="EC3535"/>
    </w:rPr>
  </w:style>
  <w:style w:type="character" w:customStyle="1" w:styleId="63">
    <w:name w:val="ico1651"/>
    <w:basedOn w:val="14"/>
    <w:qFormat/>
    <w:uiPriority w:val="0"/>
  </w:style>
  <w:style w:type="character" w:customStyle="1" w:styleId="64">
    <w:name w:val="ico1652"/>
    <w:basedOn w:val="14"/>
    <w:qFormat/>
    <w:uiPriority w:val="0"/>
  </w:style>
  <w:style w:type="character" w:customStyle="1" w:styleId="65">
    <w:name w:val="active8"/>
    <w:basedOn w:val="14"/>
    <w:qFormat/>
    <w:uiPriority w:val="0"/>
    <w:rPr>
      <w:color w:val="00FF00"/>
      <w:shd w:val="clear" w:fill="111111"/>
    </w:rPr>
  </w:style>
  <w:style w:type="character" w:customStyle="1" w:styleId="66">
    <w:name w:val="active9"/>
    <w:basedOn w:val="14"/>
    <w:qFormat/>
    <w:uiPriority w:val="0"/>
    <w:rPr>
      <w:shd w:val="clear" w:fill="EC3535"/>
    </w:rPr>
  </w:style>
  <w:style w:type="paragraph" w:customStyle="1" w:styleId="67">
    <w:name w:val="标题 5（有编号）（绿盟科技）"/>
    <w:basedOn w:val="1"/>
    <w:next w:val="68"/>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68">
    <w:name w:val="正文（绿盟科技）"/>
    <w:qFormat/>
    <w:uiPriority w:val="0"/>
    <w:pPr>
      <w:spacing w:line="300" w:lineRule="auto"/>
    </w:pPr>
    <w:rPr>
      <w:rFonts w:ascii="Arial" w:hAnsi="Arial" w:eastAsia="宋体" w:cs="Times New Roman"/>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2157</Words>
  <Characters>2222</Characters>
  <Lines>26</Lines>
  <Paragraphs>7</Paragraphs>
  <TotalTime>59</TotalTime>
  <ScaleCrop>false</ScaleCrop>
  <LinksUpToDate>false</LinksUpToDate>
  <CharactersWithSpaces>2491</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2023-05-24T14:14:00Z</dcterms:created>
  <dc:creator>yaoyao</dc:creator>
  <cp:lastModifiedBy>lenovo</cp:lastModifiedBy>
  <cp:lastPrinted>2022-07-04T13:48:00Z</cp:lastPrinted>
  <dcterms:modified xsi:type="dcterms:W3CDTF">2026-07-20T14:01:42Z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C4C6C674C9BF6ABAC6B95D6A98F3E196_43</vt:lpwstr>
  </property>
  <property fmtid="{D5CDD505-2E9C-101B-9397-08002B2CF9AE}" pid="4" name="KSOTemplateDocerSaveRecord">
    <vt:lpwstr>eyJoZGlkIjoiNDJlMTRjM2ViOGMxNjFiMTgzNzBlMmM0NWUxM2U3NDYiLCJ1c2VySWQiOiIxMDg0NTI3OTQzIn0=</vt:lpwstr>
  </property>
</Properties>
</file>